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C8511" w14:textId="226E5513" w:rsidR="00AB181E" w:rsidRPr="00143EA8" w:rsidRDefault="00BE18E3">
      <w:pPr>
        <w:pStyle w:val="Author"/>
      </w:pPr>
      <w:r w:rsidRPr="00143EA8">
        <w:t>Mario Franco Barros</w:t>
      </w:r>
      <w:r w:rsidR="00224AA6" w:rsidRPr="00143EA8">
        <w:t>/</w:t>
      </w:r>
      <w:r w:rsidRPr="00143EA8">
        <w:t>Meike Meliss</w:t>
      </w:r>
    </w:p>
    <w:p w14:paraId="5DAAC233" w14:textId="1CA3B9A5" w:rsidR="00640190" w:rsidRPr="00815B25" w:rsidRDefault="00BE18E3" w:rsidP="00815B25">
      <w:pPr>
        <w:pStyle w:val="berschrift1"/>
        <w:spacing w:before="120" w:after="120"/>
        <w:jc w:val="center"/>
        <w:rPr>
          <w:spacing w:val="1"/>
          <w:w w:val="105"/>
          <w:sz w:val="38"/>
          <w:szCs w:val="38"/>
        </w:rPr>
      </w:pPr>
      <w:r w:rsidRPr="00815B25">
        <w:rPr>
          <w:w w:val="105"/>
          <w:sz w:val="38"/>
          <w:szCs w:val="38"/>
        </w:rPr>
        <w:t xml:space="preserve">The German-Spanish verb pair </w:t>
      </w:r>
      <w:r w:rsidRPr="00815B25">
        <w:rPr>
          <w:i/>
          <w:w w:val="105"/>
          <w:sz w:val="38"/>
          <w:szCs w:val="38"/>
        </w:rPr>
        <w:t>schreiben</w:t>
      </w:r>
      <w:r w:rsidR="00143EA8" w:rsidRPr="00815B25">
        <w:rPr>
          <w:i/>
          <w:w w:val="105"/>
          <w:sz w:val="38"/>
          <w:szCs w:val="38"/>
        </w:rPr>
        <w:t xml:space="preserve"> </w:t>
      </w:r>
      <w:r w:rsidRPr="00815B25">
        <w:rPr>
          <w:i/>
          <w:w w:val="105"/>
          <w:sz w:val="38"/>
          <w:szCs w:val="38"/>
        </w:rPr>
        <w:t>/</w:t>
      </w:r>
      <w:r w:rsidR="00143EA8" w:rsidRPr="00815B25">
        <w:rPr>
          <w:i/>
          <w:w w:val="105"/>
          <w:sz w:val="38"/>
          <w:szCs w:val="38"/>
        </w:rPr>
        <w:t xml:space="preserve"> </w:t>
      </w:r>
      <w:r w:rsidRPr="00815B25">
        <w:rPr>
          <w:i/>
          <w:w w:val="105"/>
          <w:sz w:val="38"/>
          <w:szCs w:val="38"/>
        </w:rPr>
        <w:t xml:space="preserve">escribir </w:t>
      </w:r>
      <w:r w:rsidRPr="00815B25">
        <w:rPr>
          <w:w w:val="105"/>
          <w:sz w:val="38"/>
          <w:szCs w:val="38"/>
        </w:rPr>
        <w:t>from a contrastive perspective</w:t>
      </w:r>
      <w:r w:rsidR="00815B25" w:rsidRPr="00815B25">
        <w:rPr>
          <w:w w:val="105"/>
          <w:sz w:val="38"/>
          <w:szCs w:val="38"/>
        </w:rPr>
        <w:t>.</w:t>
      </w:r>
    </w:p>
    <w:p w14:paraId="3153826E" w14:textId="3FEFCC9E" w:rsidR="00815B25" w:rsidRDefault="00815B25" w:rsidP="00815B25">
      <w:pPr>
        <w:pStyle w:val="Untertitel"/>
      </w:pPr>
      <w:r w:rsidRPr="00815B25">
        <w:t>Empirical study of argument structure patterns and their variation in different text types</w:t>
      </w:r>
    </w:p>
    <w:p w14:paraId="3242100E" w14:textId="050F3ECD" w:rsidR="00AB181E" w:rsidRDefault="00224AA6">
      <w:pPr>
        <w:pStyle w:val="Keywords"/>
        <w:jc w:val="left"/>
      </w:pPr>
      <w:r>
        <w:rPr>
          <w:b/>
          <w:szCs w:val="20"/>
        </w:rPr>
        <w:t>Keywords:</w:t>
      </w:r>
      <w:r>
        <w:rPr>
          <w:szCs w:val="20"/>
        </w:rPr>
        <w:t xml:space="preserve"> </w:t>
      </w:r>
      <w:r w:rsidR="00640190">
        <w:rPr>
          <w:szCs w:val="20"/>
        </w:rPr>
        <w:t>Argument structure patterns, multilingual corpus, variation in different texttypes</w:t>
      </w:r>
    </w:p>
    <w:p w14:paraId="344808E7" w14:textId="60F91D0D" w:rsidR="00BE18E3" w:rsidRPr="00BE18E3" w:rsidRDefault="00BE18E3" w:rsidP="00BE18E3">
      <w:pPr>
        <w:pStyle w:val="Textkrper"/>
        <w:spacing w:before="120" w:after="120"/>
      </w:pPr>
      <w:r w:rsidRPr="00BE18E3">
        <w:rPr>
          <w:w w:val="105"/>
        </w:rPr>
        <w:t xml:space="preserve">This contribution on the German-Spanish verb pair </w:t>
      </w:r>
      <w:r w:rsidRPr="00BE18E3">
        <w:rPr>
          <w:i/>
          <w:w w:val="105"/>
        </w:rPr>
        <w:t xml:space="preserve">schreiben/escribir </w:t>
      </w:r>
      <w:r w:rsidRPr="00BE18E3">
        <w:rPr>
          <w:w w:val="105"/>
        </w:rPr>
        <w:t>takes up some</w:t>
      </w:r>
      <w:r w:rsidRPr="00BE18E3">
        <w:rPr>
          <w:spacing w:val="1"/>
          <w:w w:val="105"/>
        </w:rPr>
        <w:t xml:space="preserve"> </w:t>
      </w:r>
      <w:r w:rsidRPr="00BE18E3">
        <w:rPr>
          <w:w w:val="105"/>
        </w:rPr>
        <w:t xml:space="preserve">questions about representative communication verbs in language comparison (Harras </w:t>
      </w:r>
      <w:r w:rsidRPr="00BE18E3">
        <w:rPr>
          <w:i/>
          <w:w w:val="105"/>
        </w:rPr>
        <w:t>et</w:t>
      </w:r>
      <w:r w:rsidRPr="00BE18E3">
        <w:rPr>
          <w:i/>
          <w:spacing w:val="-58"/>
          <w:w w:val="105"/>
        </w:rPr>
        <w:t xml:space="preserve"> </w:t>
      </w:r>
      <w:r w:rsidRPr="00BE18E3">
        <w:rPr>
          <w:i/>
          <w:w w:val="105"/>
        </w:rPr>
        <w:t xml:space="preserve">al. </w:t>
      </w:r>
      <w:r w:rsidRPr="00BE18E3">
        <w:rPr>
          <w:w w:val="105"/>
        </w:rPr>
        <w:t xml:space="preserve">2004, 2007; Fernández Eduardo 1993). Departing from an </w:t>
      </w:r>
      <w:r w:rsidRPr="00BE18E3">
        <w:rPr>
          <w:i/>
          <w:w w:val="105"/>
        </w:rPr>
        <w:t xml:space="preserve">ad hoc </w:t>
      </w:r>
      <w:r w:rsidRPr="00BE18E3">
        <w:rPr>
          <w:w w:val="105"/>
        </w:rPr>
        <w:t>data base of a</w:t>
      </w:r>
      <w:r w:rsidRPr="00BE18E3">
        <w:rPr>
          <w:spacing w:val="1"/>
          <w:w w:val="105"/>
        </w:rPr>
        <w:t xml:space="preserve"> </w:t>
      </w:r>
      <w:r w:rsidRPr="00BE18E3">
        <w:rPr>
          <w:w w:val="105"/>
        </w:rPr>
        <w:t>comparable</w:t>
      </w:r>
      <w:r w:rsidRPr="00BE18E3">
        <w:rPr>
          <w:spacing w:val="1"/>
          <w:w w:val="105"/>
        </w:rPr>
        <w:t xml:space="preserve"> </w:t>
      </w:r>
      <w:r w:rsidRPr="00BE18E3">
        <w:rPr>
          <w:w w:val="105"/>
        </w:rPr>
        <w:t>multilingual</w:t>
      </w:r>
      <w:r w:rsidRPr="00BE18E3">
        <w:rPr>
          <w:spacing w:val="1"/>
          <w:w w:val="105"/>
        </w:rPr>
        <w:t xml:space="preserve"> </w:t>
      </w:r>
      <w:r w:rsidRPr="00BE18E3">
        <w:rPr>
          <w:w w:val="105"/>
        </w:rPr>
        <w:t>corpus</w:t>
      </w:r>
      <w:r w:rsidRPr="00BE18E3">
        <w:rPr>
          <w:spacing w:val="1"/>
          <w:w w:val="105"/>
        </w:rPr>
        <w:t xml:space="preserve"> </w:t>
      </w:r>
      <w:r w:rsidRPr="00BE18E3">
        <w:rPr>
          <w:w w:val="105"/>
        </w:rPr>
        <w:t>(Kupietz</w:t>
      </w:r>
      <w:r w:rsidRPr="00BE18E3">
        <w:rPr>
          <w:spacing w:val="1"/>
          <w:w w:val="105"/>
        </w:rPr>
        <w:t xml:space="preserve"> </w:t>
      </w:r>
      <w:r w:rsidRPr="00BE18E3">
        <w:rPr>
          <w:i/>
          <w:w w:val="105"/>
        </w:rPr>
        <w:t>et</w:t>
      </w:r>
      <w:r w:rsidRPr="00BE18E3">
        <w:rPr>
          <w:i/>
          <w:spacing w:val="1"/>
          <w:w w:val="105"/>
        </w:rPr>
        <w:t xml:space="preserve"> </w:t>
      </w:r>
      <w:r w:rsidRPr="00BE18E3">
        <w:rPr>
          <w:i/>
          <w:w w:val="105"/>
        </w:rPr>
        <w:t>al.</w:t>
      </w:r>
      <w:r w:rsidRPr="00BE18E3">
        <w:rPr>
          <w:i/>
          <w:spacing w:val="1"/>
          <w:w w:val="105"/>
        </w:rPr>
        <w:t xml:space="preserve"> </w:t>
      </w:r>
      <w:r w:rsidRPr="00BE18E3">
        <w:rPr>
          <w:w w:val="105"/>
        </w:rPr>
        <w:t>2020</w:t>
      </w:r>
      <w:r w:rsidR="00743934">
        <w:rPr>
          <w:w w:val="105"/>
        </w:rPr>
        <w:t>;</w:t>
      </w:r>
      <w:r w:rsidRPr="00BE18E3">
        <w:rPr>
          <w:spacing w:val="1"/>
          <w:w w:val="105"/>
        </w:rPr>
        <w:t xml:space="preserve"> </w:t>
      </w:r>
      <w:r w:rsidRPr="00BE18E3">
        <w:t>Meliss/González Ribao 2022</w:t>
      </w:r>
      <w:r w:rsidRPr="00BE18E3">
        <w:rPr>
          <w:w w:val="105"/>
        </w:rPr>
        <w:t>)</w:t>
      </w:r>
      <w:r w:rsidRPr="00BE18E3">
        <w:rPr>
          <w:spacing w:val="1"/>
          <w:w w:val="105"/>
        </w:rPr>
        <w:t xml:space="preserve"> </w:t>
      </w:r>
      <w:r w:rsidRPr="00BE18E3">
        <w:rPr>
          <w:w w:val="105"/>
        </w:rPr>
        <w:t>and</w:t>
      </w:r>
      <w:r w:rsidRPr="00BE18E3">
        <w:rPr>
          <w:spacing w:val="1"/>
          <w:w w:val="105"/>
        </w:rPr>
        <w:t xml:space="preserve"> </w:t>
      </w:r>
      <w:r w:rsidRPr="00BE18E3">
        <w:rPr>
          <w:w w:val="105"/>
        </w:rPr>
        <w:t>a</w:t>
      </w:r>
      <w:r w:rsidRPr="00BE18E3">
        <w:rPr>
          <w:spacing w:val="1"/>
          <w:w w:val="105"/>
        </w:rPr>
        <w:t xml:space="preserve"> </w:t>
      </w:r>
      <w:r w:rsidRPr="00BE18E3">
        <w:rPr>
          <w:w w:val="105"/>
        </w:rPr>
        <w:t>corpus-based</w:t>
      </w:r>
      <w:r w:rsidRPr="00BE18E3">
        <w:rPr>
          <w:spacing w:val="1"/>
          <w:w w:val="105"/>
        </w:rPr>
        <w:t xml:space="preserve"> </w:t>
      </w:r>
      <w:r w:rsidRPr="00BE18E3">
        <w:rPr>
          <w:w w:val="105"/>
        </w:rPr>
        <w:t>methodology for multilingual contexts, it describes the extensive combination potential</w:t>
      </w:r>
      <w:r w:rsidRPr="00BE18E3">
        <w:rPr>
          <w:spacing w:val="1"/>
          <w:w w:val="105"/>
        </w:rPr>
        <w:t xml:space="preserve"> </w:t>
      </w:r>
      <w:r w:rsidRPr="00BE18E3">
        <w:rPr>
          <w:w w:val="105"/>
        </w:rPr>
        <w:t>of</w:t>
      </w:r>
      <w:r w:rsidRPr="00BE18E3">
        <w:rPr>
          <w:spacing w:val="-4"/>
          <w:w w:val="105"/>
        </w:rPr>
        <w:t xml:space="preserve"> </w:t>
      </w:r>
      <w:r w:rsidRPr="00BE18E3">
        <w:rPr>
          <w:w w:val="105"/>
        </w:rPr>
        <w:t>both verbs</w:t>
      </w:r>
      <w:r w:rsidRPr="00BE18E3">
        <w:rPr>
          <w:spacing w:val="-2"/>
          <w:w w:val="105"/>
        </w:rPr>
        <w:t xml:space="preserve"> </w:t>
      </w:r>
      <w:r w:rsidRPr="00BE18E3">
        <w:rPr>
          <w:w w:val="105"/>
        </w:rPr>
        <w:t>from</w:t>
      </w:r>
      <w:r w:rsidRPr="00BE18E3">
        <w:rPr>
          <w:spacing w:val="-2"/>
          <w:w w:val="105"/>
        </w:rPr>
        <w:t xml:space="preserve"> </w:t>
      </w:r>
      <w:r w:rsidRPr="00BE18E3">
        <w:rPr>
          <w:w w:val="105"/>
        </w:rPr>
        <w:t>a</w:t>
      </w:r>
      <w:r w:rsidRPr="00BE18E3">
        <w:rPr>
          <w:spacing w:val="-1"/>
          <w:w w:val="105"/>
        </w:rPr>
        <w:t xml:space="preserve"> </w:t>
      </w:r>
      <w:r w:rsidRPr="00BE18E3">
        <w:rPr>
          <w:w w:val="105"/>
        </w:rPr>
        <w:t>contrastive</w:t>
      </w:r>
      <w:r w:rsidRPr="00BE18E3">
        <w:rPr>
          <w:spacing w:val="-1"/>
          <w:w w:val="105"/>
        </w:rPr>
        <w:t xml:space="preserve"> </w:t>
      </w:r>
      <w:r w:rsidRPr="00BE18E3">
        <w:rPr>
          <w:w w:val="105"/>
        </w:rPr>
        <w:t>perspective.</w:t>
      </w:r>
    </w:p>
    <w:p w14:paraId="4A8A67ED" w14:textId="77777777" w:rsidR="00BE18E3" w:rsidRPr="00BE18E3" w:rsidRDefault="00BE18E3" w:rsidP="00BE18E3">
      <w:pPr>
        <w:pStyle w:val="Textkrper"/>
        <w:spacing w:before="120" w:after="120"/>
      </w:pPr>
      <w:r w:rsidRPr="00BE18E3">
        <w:t>The data base consists of 400</w:t>
      </w:r>
      <w:r w:rsidRPr="00BE18E3">
        <w:rPr>
          <w:spacing w:val="57"/>
        </w:rPr>
        <w:t xml:space="preserve"> </w:t>
      </w:r>
      <w:r w:rsidRPr="00BE18E3">
        <w:t>corpus examples per language from four different text types</w:t>
      </w:r>
      <w:r w:rsidRPr="00BE18E3">
        <w:rPr>
          <w:spacing w:val="1"/>
        </w:rPr>
        <w:t xml:space="preserve"> </w:t>
      </w:r>
      <w:r w:rsidRPr="00BE18E3">
        <w:t>of the contemporary language, extracted from large reference corpora of both languages.</w:t>
      </w:r>
      <w:r w:rsidRPr="00BE18E3">
        <w:rPr>
          <w:spacing w:val="1"/>
        </w:rPr>
        <w:t xml:space="preserve"> </w:t>
      </w:r>
      <w:r w:rsidRPr="00BE18E3">
        <w:rPr>
          <w:w w:val="105"/>
        </w:rPr>
        <w:t>The corresponding analyses for lexical issues at the interface between semantics and</w:t>
      </w:r>
      <w:r w:rsidRPr="00BE18E3">
        <w:rPr>
          <w:spacing w:val="1"/>
          <w:w w:val="105"/>
        </w:rPr>
        <w:t xml:space="preserve"> </w:t>
      </w:r>
      <w:r w:rsidRPr="00BE18E3">
        <w:t>syntax required the development of a corpus-based methodology for multilingual contexts</w:t>
      </w:r>
      <w:r w:rsidRPr="00BE18E3">
        <w:rPr>
          <w:spacing w:val="1"/>
        </w:rPr>
        <w:t xml:space="preserve"> </w:t>
      </w:r>
      <w:r w:rsidRPr="00BE18E3">
        <w:rPr>
          <w:w w:val="105"/>
        </w:rPr>
        <w:t>and</w:t>
      </w:r>
      <w:r w:rsidRPr="00BE18E3">
        <w:rPr>
          <w:spacing w:val="-5"/>
          <w:w w:val="105"/>
        </w:rPr>
        <w:t xml:space="preserve"> </w:t>
      </w:r>
      <w:r w:rsidRPr="00BE18E3">
        <w:rPr>
          <w:w w:val="105"/>
        </w:rPr>
        <w:t>the</w:t>
      </w:r>
      <w:r w:rsidRPr="00BE18E3">
        <w:rPr>
          <w:spacing w:val="-5"/>
          <w:w w:val="105"/>
        </w:rPr>
        <w:t xml:space="preserve"> </w:t>
      </w:r>
      <w:r w:rsidRPr="00BE18E3">
        <w:rPr>
          <w:w w:val="105"/>
        </w:rPr>
        <w:t>creation</w:t>
      </w:r>
      <w:r w:rsidRPr="00BE18E3">
        <w:rPr>
          <w:spacing w:val="-4"/>
          <w:w w:val="105"/>
        </w:rPr>
        <w:t xml:space="preserve"> </w:t>
      </w:r>
      <w:r w:rsidRPr="00BE18E3">
        <w:rPr>
          <w:w w:val="105"/>
        </w:rPr>
        <w:t>of</w:t>
      </w:r>
      <w:r w:rsidRPr="00BE18E3">
        <w:rPr>
          <w:spacing w:val="-7"/>
          <w:w w:val="105"/>
        </w:rPr>
        <w:t xml:space="preserve"> </w:t>
      </w:r>
      <w:r w:rsidRPr="00BE18E3">
        <w:rPr>
          <w:w w:val="105"/>
        </w:rPr>
        <w:t>an</w:t>
      </w:r>
      <w:r w:rsidRPr="00BE18E3">
        <w:rPr>
          <w:spacing w:val="-4"/>
          <w:w w:val="105"/>
        </w:rPr>
        <w:t xml:space="preserve"> </w:t>
      </w:r>
      <w:r w:rsidRPr="00BE18E3">
        <w:rPr>
          <w:w w:val="105"/>
        </w:rPr>
        <w:t>annotation</w:t>
      </w:r>
      <w:r w:rsidRPr="00BE18E3">
        <w:rPr>
          <w:spacing w:val="-4"/>
          <w:w w:val="105"/>
        </w:rPr>
        <w:t xml:space="preserve"> </w:t>
      </w:r>
      <w:r w:rsidRPr="00BE18E3">
        <w:rPr>
          <w:w w:val="105"/>
        </w:rPr>
        <w:t>system</w:t>
      </w:r>
      <w:r w:rsidRPr="00BE18E3">
        <w:rPr>
          <w:spacing w:val="-5"/>
          <w:w w:val="105"/>
        </w:rPr>
        <w:t xml:space="preserve"> </w:t>
      </w:r>
      <w:r w:rsidRPr="00BE18E3">
        <w:rPr>
          <w:w w:val="105"/>
        </w:rPr>
        <w:t>for</w:t>
      </w:r>
      <w:r w:rsidRPr="00BE18E3">
        <w:rPr>
          <w:spacing w:val="-7"/>
          <w:w w:val="105"/>
        </w:rPr>
        <w:t xml:space="preserve"> </w:t>
      </w:r>
      <w:r w:rsidRPr="00BE18E3">
        <w:rPr>
          <w:w w:val="105"/>
        </w:rPr>
        <w:t>the</w:t>
      </w:r>
      <w:r w:rsidRPr="00BE18E3">
        <w:rPr>
          <w:spacing w:val="-5"/>
          <w:w w:val="105"/>
        </w:rPr>
        <w:t xml:space="preserve"> </w:t>
      </w:r>
      <w:r w:rsidRPr="00BE18E3">
        <w:rPr>
          <w:w w:val="105"/>
        </w:rPr>
        <w:t>acquisition</w:t>
      </w:r>
      <w:r w:rsidRPr="00BE18E3">
        <w:rPr>
          <w:spacing w:val="-4"/>
          <w:w w:val="105"/>
        </w:rPr>
        <w:t xml:space="preserve"> </w:t>
      </w:r>
      <w:r w:rsidRPr="00BE18E3">
        <w:rPr>
          <w:w w:val="105"/>
        </w:rPr>
        <w:t>of</w:t>
      </w:r>
      <w:r w:rsidRPr="00BE18E3">
        <w:rPr>
          <w:spacing w:val="-7"/>
          <w:w w:val="105"/>
        </w:rPr>
        <w:t xml:space="preserve"> </w:t>
      </w:r>
      <w:r w:rsidRPr="00BE18E3">
        <w:rPr>
          <w:w w:val="105"/>
        </w:rPr>
        <w:t>different</w:t>
      </w:r>
      <w:r w:rsidRPr="00BE18E3">
        <w:rPr>
          <w:spacing w:val="-8"/>
          <w:w w:val="105"/>
        </w:rPr>
        <w:t xml:space="preserve"> </w:t>
      </w:r>
      <w:r w:rsidRPr="00BE18E3">
        <w:rPr>
          <w:w w:val="105"/>
        </w:rPr>
        <w:t>lexical</w:t>
      </w:r>
      <w:r w:rsidRPr="00BE18E3">
        <w:rPr>
          <w:spacing w:val="-9"/>
          <w:w w:val="105"/>
        </w:rPr>
        <w:t xml:space="preserve"> </w:t>
      </w:r>
      <w:r w:rsidRPr="00BE18E3">
        <w:rPr>
          <w:w w:val="105"/>
        </w:rPr>
        <w:t>data.</w:t>
      </w:r>
      <w:r w:rsidRPr="00BE18E3">
        <w:rPr>
          <w:spacing w:val="-9"/>
          <w:w w:val="105"/>
        </w:rPr>
        <w:t xml:space="preserve"> </w:t>
      </w:r>
      <w:r w:rsidRPr="00BE18E3">
        <w:rPr>
          <w:w w:val="105"/>
        </w:rPr>
        <w:t xml:space="preserve">The </w:t>
      </w:r>
      <w:r w:rsidRPr="00BE18E3">
        <w:rPr>
          <w:spacing w:val="-58"/>
          <w:w w:val="105"/>
        </w:rPr>
        <w:t xml:space="preserve">   </w:t>
      </w:r>
      <w:r w:rsidRPr="00BE18E3">
        <w:rPr>
          <w:w w:val="105"/>
        </w:rPr>
        <w:t xml:space="preserve">underlying methodology based on Engelberg </w:t>
      </w:r>
      <w:r w:rsidRPr="00BE18E3">
        <w:rPr>
          <w:i/>
          <w:w w:val="105"/>
        </w:rPr>
        <w:t xml:space="preserve">et al. </w:t>
      </w:r>
      <w:r w:rsidRPr="00BE18E3">
        <w:rPr>
          <w:w w:val="105"/>
        </w:rPr>
        <w:t>(2012) was adapted to the main</w:t>
      </w:r>
      <w:r w:rsidRPr="00BE18E3">
        <w:rPr>
          <w:spacing w:val="1"/>
          <w:w w:val="105"/>
        </w:rPr>
        <w:t xml:space="preserve"> </w:t>
      </w:r>
      <w:r w:rsidRPr="00BE18E3">
        <w:rPr>
          <w:w w:val="105"/>
        </w:rPr>
        <w:t>purposes of the research project COMBIDIGILEX and applied to the analysis of verbs of</w:t>
      </w:r>
      <w:r w:rsidRPr="00BE18E3">
        <w:rPr>
          <w:spacing w:val="1"/>
          <w:w w:val="105"/>
        </w:rPr>
        <w:t xml:space="preserve"> </w:t>
      </w:r>
      <w:r w:rsidRPr="00BE18E3">
        <w:rPr>
          <w:w w:val="105"/>
        </w:rPr>
        <w:t>different</w:t>
      </w:r>
      <w:r w:rsidRPr="00BE18E3">
        <w:rPr>
          <w:spacing w:val="-6"/>
          <w:w w:val="105"/>
        </w:rPr>
        <w:t xml:space="preserve"> </w:t>
      </w:r>
      <w:r w:rsidRPr="00BE18E3">
        <w:rPr>
          <w:w w:val="105"/>
        </w:rPr>
        <w:t>verb classes</w:t>
      </w:r>
      <w:r w:rsidRPr="00BE18E3">
        <w:rPr>
          <w:spacing w:val="-2"/>
          <w:w w:val="105"/>
        </w:rPr>
        <w:t xml:space="preserve"> </w:t>
      </w:r>
      <w:r w:rsidRPr="00BE18E3">
        <w:t xml:space="preserve">(Meliss (coord.) </w:t>
      </w:r>
      <w:r w:rsidRPr="00BE18E3">
        <w:rPr>
          <w:i/>
          <w:iCs/>
        </w:rPr>
        <w:t>et al</w:t>
      </w:r>
      <w:r w:rsidRPr="00BE18E3">
        <w:t>. i.p.)</w:t>
      </w:r>
      <w:r w:rsidRPr="00BE18E3">
        <w:rPr>
          <w:bCs/>
        </w:rPr>
        <w:t xml:space="preserve">. </w:t>
      </w:r>
    </w:p>
    <w:p w14:paraId="3AC1B90D" w14:textId="77777777" w:rsidR="00BE18E3" w:rsidRPr="00BE18E3" w:rsidRDefault="00BE18E3" w:rsidP="00BE18E3">
      <w:pPr>
        <w:pStyle w:val="Textkrper"/>
        <w:spacing w:before="120" w:after="120"/>
      </w:pPr>
      <w:r w:rsidRPr="00BE18E3">
        <w:rPr>
          <w:w w:val="105"/>
        </w:rPr>
        <w:t>The</w:t>
      </w:r>
      <w:r w:rsidRPr="00BE18E3">
        <w:rPr>
          <w:spacing w:val="-5"/>
          <w:w w:val="105"/>
        </w:rPr>
        <w:t xml:space="preserve"> </w:t>
      </w:r>
      <w:r w:rsidRPr="00BE18E3">
        <w:rPr>
          <w:w w:val="105"/>
        </w:rPr>
        <w:t>high</w:t>
      </w:r>
      <w:r w:rsidRPr="00BE18E3">
        <w:rPr>
          <w:spacing w:val="-3"/>
          <w:w w:val="105"/>
        </w:rPr>
        <w:t xml:space="preserve"> </w:t>
      </w:r>
      <w:r w:rsidRPr="00BE18E3">
        <w:rPr>
          <w:w w:val="105"/>
        </w:rPr>
        <w:t>number</w:t>
      </w:r>
      <w:r w:rsidRPr="00BE18E3">
        <w:rPr>
          <w:spacing w:val="-7"/>
          <w:w w:val="105"/>
        </w:rPr>
        <w:t xml:space="preserve"> </w:t>
      </w:r>
      <w:r w:rsidRPr="00BE18E3">
        <w:rPr>
          <w:w w:val="105"/>
        </w:rPr>
        <w:t>of</w:t>
      </w:r>
      <w:r w:rsidRPr="00BE18E3">
        <w:rPr>
          <w:spacing w:val="-6"/>
          <w:w w:val="105"/>
        </w:rPr>
        <w:t xml:space="preserve"> </w:t>
      </w:r>
      <w:r w:rsidRPr="00BE18E3">
        <w:rPr>
          <w:w w:val="105"/>
        </w:rPr>
        <w:t>attested</w:t>
      </w:r>
      <w:r w:rsidRPr="00BE18E3">
        <w:rPr>
          <w:spacing w:val="-3"/>
          <w:w w:val="105"/>
        </w:rPr>
        <w:t xml:space="preserve"> </w:t>
      </w:r>
      <w:r w:rsidRPr="00BE18E3">
        <w:rPr>
          <w:w w:val="105"/>
        </w:rPr>
        <w:t>argument</w:t>
      </w:r>
      <w:r w:rsidRPr="00BE18E3">
        <w:rPr>
          <w:spacing w:val="-8"/>
          <w:w w:val="105"/>
        </w:rPr>
        <w:t xml:space="preserve"> </w:t>
      </w:r>
      <w:r w:rsidRPr="00BE18E3">
        <w:rPr>
          <w:w w:val="105"/>
        </w:rPr>
        <w:t>structure</w:t>
      </w:r>
      <w:r w:rsidRPr="00BE18E3">
        <w:rPr>
          <w:spacing w:val="-5"/>
          <w:w w:val="105"/>
        </w:rPr>
        <w:t xml:space="preserve"> </w:t>
      </w:r>
      <w:r w:rsidRPr="00BE18E3">
        <w:rPr>
          <w:w w:val="105"/>
        </w:rPr>
        <w:t>patterns</w:t>
      </w:r>
      <w:r w:rsidRPr="00BE18E3">
        <w:rPr>
          <w:spacing w:val="1"/>
          <w:w w:val="105"/>
        </w:rPr>
        <w:t xml:space="preserve"> </w:t>
      </w:r>
      <w:r w:rsidRPr="00BE18E3">
        <w:rPr>
          <w:w w:val="105"/>
        </w:rPr>
        <w:t>combined</w:t>
      </w:r>
      <w:r w:rsidRPr="00BE18E3">
        <w:rPr>
          <w:spacing w:val="-3"/>
          <w:w w:val="105"/>
        </w:rPr>
        <w:t xml:space="preserve"> </w:t>
      </w:r>
      <w:r w:rsidRPr="00BE18E3">
        <w:rPr>
          <w:w w:val="105"/>
        </w:rPr>
        <w:t>with</w:t>
      </w:r>
      <w:r w:rsidRPr="00BE18E3">
        <w:rPr>
          <w:spacing w:val="-3"/>
          <w:w w:val="105"/>
        </w:rPr>
        <w:t xml:space="preserve"> </w:t>
      </w:r>
      <w:r w:rsidRPr="00BE18E3">
        <w:rPr>
          <w:w w:val="105"/>
        </w:rPr>
        <w:t>a</w:t>
      </w:r>
      <w:r w:rsidRPr="00BE18E3">
        <w:rPr>
          <w:spacing w:val="2"/>
          <w:w w:val="105"/>
        </w:rPr>
        <w:t xml:space="preserve"> </w:t>
      </w:r>
      <w:r w:rsidRPr="00BE18E3">
        <w:rPr>
          <w:w w:val="105"/>
        </w:rPr>
        <w:t>wide</w:t>
      </w:r>
      <w:r w:rsidRPr="00BE18E3">
        <w:rPr>
          <w:spacing w:val="-5"/>
          <w:w w:val="105"/>
        </w:rPr>
        <w:t xml:space="preserve"> </w:t>
      </w:r>
      <w:r w:rsidRPr="00BE18E3">
        <w:rPr>
          <w:w w:val="105"/>
        </w:rPr>
        <w:t>morpho-</w:t>
      </w:r>
      <w:r w:rsidRPr="00BE18E3">
        <w:rPr>
          <w:spacing w:val="-58"/>
          <w:w w:val="105"/>
        </w:rPr>
        <w:t xml:space="preserve"> </w:t>
      </w:r>
      <w:r w:rsidRPr="00BE18E3">
        <w:rPr>
          <w:w w:val="105"/>
        </w:rPr>
        <w:t>syntactic</w:t>
      </w:r>
      <w:r w:rsidRPr="00BE18E3">
        <w:rPr>
          <w:spacing w:val="1"/>
          <w:w w:val="105"/>
        </w:rPr>
        <w:t xml:space="preserve"> </w:t>
      </w:r>
      <w:r w:rsidRPr="00BE18E3">
        <w:rPr>
          <w:w w:val="105"/>
        </w:rPr>
        <w:t>realisation</w:t>
      </w:r>
      <w:r w:rsidRPr="00BE18E3">
        <w:rPr>
          <w:spacing w:val="1"/>
          <w:w w:val="105"/>
        </w:rPr>
        <w:t xml:space="preserve"> </w:t>
      </w:r>
      <w:r w:rsidRPr="00BE18E3">
        <w:rPr>
          <w:w w:val="105"/>
        </w:rPr>
        <w:t>spectrum</w:t>
      </w:r>
      <w:r w:rsidRPr="00BE18E3">
        <w:rPr>
          <w:spacing w:val="1"/>
          <w:w w:val="105"/>
        </w:rPr>
        <w:t xml:space="preserve"> </w:t>
      </w:r>
      <w:r w:rsidRPr="00BE18E3">
        <w:rPr>
          <w:w w:val="105"/>
        </w:rPr>
        <w:t>provides</w:t>
      </w:r>
      <w:r w:rsidRPr="00BE18E3">
        <w:rPr>
          <w:spacing w:val="1"/>
          <w:w w:val="105"/>
        </w:rPr>
        <w:t xml:space="preserve"> </w:t>
      </w:r>
      <w:r w:rsidRPr="00BE18E3">
        <w:rPr>
          <w:w w:val="105"/>
        </w:rPr>
        <w:t>not</w:t>
      </w:r>
      <w:r w:rsidRPr="00BE18E3">
        <w:rPr>
          <w:spacing w:val="1"/>
          <w:w w:val="105"/>
        </w:rPr>
        <w:t xml:space="preserve"> </w:t>
      </w:r>
      <w:r w:rsidRPr="00BE18E3">
        <w:rPr>
          <w:w w:val="105"/>
        </w:rPr>
        <w:t>only</w:t>
      </w:r>
      <w:r w:rsidRPr="00BE18E3">
        <w:rPr>
          <w:spacing w:val="1"/>
          <w:w w:val="105"/>
        </w:rPr>
        <w:t xml:space="preserve"> </w:t>
      </w:r>
      <w:r w:rsidRPr="00BE18E3">
        <w:rPr>
          <w:w w:val="105"/>
        </w:rPr>
        <w:t>the</w:t>
      </w:r>
      <w:r w:rsidRPr="00BE18E3">
        <w:rPr>
          <w:spacing w:val="1"/>
          <w:w w:val="105"/>
        </w:rPr>
        <w:t xml:space="preserve"> </w:t>
      </w:r>
      <w:r w:rsidRPr="00BE18E3">
        <w:rPr>
          <w:w w:val="105"/>
        </w:rPr>
        <w:t>basis</w:t>
      </w:r>
      <w:r w:rsidRPr="00BE18E3">
        <w:rPr>
          <w:spacing w:val="1"/>
          <w:w w:val="105"/>
        </w:rPr>
        <w:t xml:space="preserve"> </w:t>
      </w:r>
      <w:r w:rsidRPr="00BE18E3">
        <w:rPr>
          <w:w w:val="105"/>
        </w:rPr>
        <w:t>for</w:t>
      </w:r>
      <w:r w:rsidRPr="00BE18E3">
        <w:rPr>
          <w:spacing w:val="1"/>
          <w:w w:val="105"/>
        </w:rPr>
        <w:t xml:space="preserve"> </w:t>
      </w:r>
      <w:r w:rsidRPr="00BE18E3">
        <w:rPr>
          <w:w w:val="105"/>
        </w:rPr>
        <w:t>fine-grained</w:t>
      </w:r>
      <w:r w:rsidRPr="00BE18E3">
        <w:rPr>
          <w:spacing w:val="1"/>
          <w:w w:val="105"/>
        </w:rPr>
        <w:t xml:space="preserve"> </w:t>
      </w:r>
      <w:r w:rsidRPr="00BE18E3">
        <w:rPr>
          <w:w w:val="105"/>
        </w:rPr>
        <w:t>sense</w:t>
      </w:r>
      <w:r w:rsidRPr="00BE18E3">
        <w:rPr>
          <w:spacing w:val="1"/>
          <w:w w:val="105"/>
        </w:rPr>
        <w:t xml:space="preserve"> </w:t>
      </w:r>
      <w:r w:rsidRPr="00BE18E3">
        <w:t xml:space="preserve">disambiguation, but also relevant phenomena in the contrastive field. Based on a </w:t>
      </w:r>
      <w:r w:rsidRPr="00BE18E3">
        <w:rPr>
          <w:i/>
        </w:rPr>
        <w:t>tertiums</w:t>
      </w:r>
      <w:r w:rsidRPr="00BE18E3">
        <w:rPr>
          <w:i/>
          <w:spacing w:val="1"/>
        </w:rPr>
        <w:t xml:space="preserve"> </w:t>
      </w:r>
      <w:r w:rsidRPr="00BE18E3">
        <w:rPr>
          <w:i/>
        </w:rPr>
        <w:t>comparationis</w:t>
      </w:r>
      <w:r w:rsidRPr="00BE18E3">
        <w:t>, which is defined by the identified argument structures (Wotjak 2011), the</w:t>
      </w:r>
      <w:r w:rsidRPr="00BE18E3">
        <w:rPr>
          <w:spacing w:val="1"/>
        </w:rPr>
        <w:t xml:space="preserve"> </w:t>
      </w:r>
      <w:r w:rsidRPr="00BE18E3">
        <w:rPr>
          <w:w w:val="105"/>
        </w:rPr>
        <w:t>following</w:t>
      </w:r>
      <w:r w:rsidRPr="00BE18E3">
        <w:rPr>
          <w:spacing w:val="-1"/>
          <w:w w:val="105"/>
        </w:rPr>
        <w:t xml:space="preserve"> </w:t>
      </w:r>
      <w:r w:rsidRPr="00BE18E3">
        <w:rPr>
          <w:w w:val="105"/>
        </w:rPr>
        <w:t>research questions</w:t>
      </w:r>
      <w:r w:rsidRPr="00BE18E3">
        <w:rPr>
          <w:spacing w:val="-3"/>
          <w:w w:val="105"/>
        </w:rPr>
        <w:t xml:space="preserve"> </w:t>
      </w:r>
      <w:r w:rsidRPr="00BE18E3">
        <w:rPr>
          <w:w w:val="105"/>
        </w:rPr>
        <w:t>will</w:t>
      </w:r>
      <w:r w:rsidRPr="00BE18E3">
        <w:rPr>
          <w:spacing w:val="-5"/>
          <w:w w:val="105"/>
        </w:rPr>
        <w:t xml:space="preserve"> </w:t>
      </w:r>
      <w:r w:rsidRPr="00BE18E3">
        <w:rPr>
          <w:w w:val="105"/>
        </w:rPr>
        <w:t>be</w:t>
      </w:r>
      <w:r w:rsidRPr="00BE18E3">
        <w:rPr>
          <w:spacing w:val="-1"/>
          <w:w w:val="105"/>
        </w:rPr>
        <w:t xml:space="preserve"> </w:t>
      </w:r>
      <w:r w:rsidRPr="00BE18E3">
        <w:rPr>
          <w:w w:val="105"/>
        </w:rPr>
        <w:t>considered:</w:t>
      </w:r>
    </w:p>
    <w:p w14:paraId="34E50C47" w14:textId="77777777" w:rsidR="00BE18E3" w:rsidRPr="00BE18E3" w:rsidRDefault="00BE18E3" w:rsidP="00BE18E3">
      <w:pPr>
        <w:pStyle w:val="Listenabsatz"/>
        <w:widowControl w:val="0"/>
        <w:numPr>
          <w:ilvl w:val="0"/>
          <w:numId w:val="4"/>
        </w:numPr>
        <w:tabs>
          <w:tab w:val="clear" w:pos="0"/>
          <w:tab w:val="left" w:pos="832"/>
        </w:tabs>
        <w:autoSpaceDE w:val="0"/>
        <w:autoSpaceDN w:val="0"/>
        <w:spacing w:before="120" w:after="120" w:line="240" w:lineRule="auto"/>
        <w:ind w:left="851" w:hanging="851"/>
        <w:contextualSpacing w:val="0"/>
        <w:jc w:val="both"/>
      </w:pPr>
      <w:r w:rsidRPr="00BE18E3">
        <w:rPr>
          <w:w w:val="105"/>
        </w:rPr>
        <w:t>What</w:t>
      </w:r>
      <w:r w:rsidRPr="00BE18E3">
        <w:rPr>
          <w:spacing w:val="-12"/>
          <w:w w:val="105"/>
        </w:rPr>
        <w:t xml:space="preserve"> </w:t>
      </w:r>
      <w:r w:rsidRPr="00BE18E3">
        <w:rPr>
          <w:w w:val="105"/>
        </w:rPr>
        <w:t>combination</w:t>
      </w:r>
      <w:r w:rsidRPr="00BE18E3">
        <w:rPr>
          <w:spacing w:val="-7"/>
          <w:w w:val="105"/>
        </w:rPr>
        <w:t xml:space="preserve"> </w:t>
      </w:r>
      <w:r w:rsidRPr="00BE18E3">
        <w:rPr>
          <w:w w:val="105"/>
        </w:rPr>
        <w:t>potential</w:t>
      </w:r>
      <w:r w:rsidRPr="00BE18E3">
        <w:rPr>
          <w:spacing w:val="-11"/>
          <w:w w:val="105"/>
        </w:rPr>
        <w:t xml:space="preserve"> </w:t>
      </w:r>
      <w:r w:rsidRPr="00BE18E3">
        <w:rPr>
          <w:w w:val="105"/>
        </w:rPr>
        <w:t>do</w:t>
      </w:r>
      <w:r w:rsidRPr="00BE18E3">
        <w:rPr>
          <w:spacing w:val="-7"/>
          <w:w w:val="105"/>
        </w:rPr>
        <w:t xml:space="preserve"> </w:t>
      </w:r>
      <w:r w:rsidRPr="00BE18E3">
        <w:rPr>
          <w:w w:val="105"/>
        </w:rPr>
        <w:t>the</w:t>
      </w:r>
      <w:r w:rsidRPr="00BE18E3">
        <w:rPr>
          <w:spacing w:val="-8"/>
          <w:w w:val="105"/>
        </w:rPr>
        <w:t xml:space="preserve"> </w:t>
      </w:r>
      <w:r w:rsidRPr="00BE18E3">
        <w:rPr>
          <w:w w:val="105"/>
        </w:rPr>
        <w:t>verbs</w:t>
      </w:r>
      <w:r w:rsidRPr="00BE18E3">
        <w:rPr>
          <w:spacing w:val="-9"/>
          <w:w w:val="105"/>
        </w:rPr>
        <w:t xml:space="preserve"> </w:t>
      </w:r>
      <w:r w:rsidRPr="00BE18E3">
        <w:rPr>
          <w:i/>
          <w:w w:val="105"/>
        </w:rPr>
        <w:t>schreiben/escribir</w:t>
      </w:r>
      <w:r w:rsidRPr="00BE18E3">
        <w:rPr>
          <w:i/>
          <w:spacing w:val="-8"/>
          <w:w w:val="105"/>
        </w:rPr>
        <w:t xml:space="preserve"> </w:t>
      </w:r>
      <w:r w:rsidRPr="00BE18E3">
        <w:rPr>
          <w:w w:val="105"/>
        </w:rPr>
        <w:t>possess?</w:t>
      </w:r>
    </w:p>
    <w:p w14:paraId="5214D07D" w14:textId="77777777" w:rsidR="00BE18E3" w:rsidRPr="00BE18E3" w:rsidRDefault="00BE18E3" w:rsidP="00BE18E3">
      <w:pPr>
        <w:pStyle w:val="Listenabsatz"/>
        <w:widowControl w:val="0"/>
        <w:numPr>
          <w:ilvl w:val="0"/>
          <w:numId w:val="4"/>
        </w:numPr>
        <w:tabs>
          <w:tab w:val="clear" w:pos="0"/>
          <w:tab w:val="left" w:pos="832"/>
        </w:tabs>
        <w:autoSpaceDE w:val="0"/>
        <w:autoSpaceDN w:val="0"/>
        <w:spacing w:before="120" w:after="120" w:line="240" w:lineRule="auto"/>
        <w:ind w:left="851" w:hanging="851"/>
        <w:contextualSpacing w:val="0"/>
        <w:jc w:val="both"/>
      </w:pPr>
      <w:r w:rsidRPr="00BE18E3">
        <w:rPr>
          <w:w w:val="105"/>
        </w:rPr>
        <w:t>Can different readings be revealed based on the individual argument structure</w:t>
      </w:r>
      <w:r w:rsidRPr="00BE18E3">
        <w:rPr>
          <w:spacing w:val="1"/>
          <w:w w:val="105"/>
        </w:rPr>
        <w:t xml:space="preserve"> </w:t>
      </w:r>
      <w:r w:rsidRPr="00BE18E3">
        <w:rPr>
          <w:w w:val="105"/>
        </w:rPr>
        <w:t>patterns?</w:t>
      </w:r>
    </w:p>
    <w:p w14:paraId="038F3D4E" w14:textId="77777777" w:rsidR="00BE18E3" w:rsidRPr="00BE18E3" w:rsidRDefault="00BE18E3" w:rsidP="00BE18E3">
      <w:pPr>
        <w:pStyle w:val="Listenabsatz"/>
        <w:widowControl w:val="0"/>
        <w:numPr>
          <w:ilvl w:val="0"/>
          <w:numId w:val="4"/>
        </w:numPr>
        <w:tabs>
          <w:tab w:val="clear" w:pos="0"/>
          <w:tab w:val="left" w:pos="832"/>
        </w:tabs>
        <w:autoSpaceDE w:val="0"/>
        <w:autoSpaceDN w:val="0"/>
        <w:spacing w:before="120" w:after="120" w:line="240" w:lineRule="auto"/>
        <w:ind w:left="851" w:hanging="851"/>
        <w:contextualSpacing w:val="0"/>
        <w:jc w:val="both"/>
      </w:pPr>
      <w:r w:rsidRPr="00BE18E3">
        <w:rPr>
          <w:w w:val="105"/>
        </w:rPr>
        <w:t>Do the verbs behave similarly regarding their combination potential in</w:t>
      </w:r>
      <w:r w:rsidRPr="00BE18E3">
        <w:rPr>
          <w:spacing w:val="1"/>
          <w:w w:val="105"/>
        </w:rPr>
        <w:t xml:space="preserve"> </w:t>
      </w:r>
      <w:r w:rsidRPr="00BE18E3">
        <w:rPr>
          <w:w w:val="105"/>
        </w:rPr>
        <w:t>both</w:t>
      </w:r>
      <w:r w:rsidRPr="00BE18E3">
        <w:rPr>
          <w:spacing w:val="1"/>
          <w:w w:val="105"/>
        </w:rPr>
        <w:t xml:space="preserve"> </w:t>
      </w:r>
      <w:r w:rsidRPr="00BE18E3">
        <w:rPr>
          <w:w w:val="105"/>
        </w:rPr>
        <w:t>languages?</w:t>
      </w:r>
    </w:p>
    <w:p w14:paraId="292F9069" w14:textId="4FDC5C88" w:rsidR="00BE18E3" w:rsidRPr="00BE18E3" w:rsidRDefault="00BE18E3" w:rsidP="00BE18E3">
      <w:pPr>
        <w:pStyle w:val="Listenabsatz"/>
        <w:widowControl w:val="0"/>
        <w:numPr>
          <w:ilvl w:val="0"/>
          <w:numId w:val="4"/>
        </w:numPr>
        <w:tabs>
          <w:tab w:val="clear" w:pos="0"/>
          <w:tab w:val="left" w:pos="832"/>
        </w:tabs>
        <w:autoSpaceDE w:val="0"/>
        <w:autoSpaceDN w:val="0"/>
        <w:spacing w:before="120" w:after="120" w:line="240" w:lineRule="auto"/>
        <w:ind w:left="851" w:hanging="851"/>
        <w:contextualSpacing w:val="0"/>
        <w:jc w:val="both"/>
      </w:pPr>
      <w:r w:rsidRPr="00BE18E3">
        <w:rPr>
          <w:w w:val="105"/>
        </w:rPr>
        <w:t>Can</w:t>
      </w:r>
      <w:r w:rsidRPr="00BE18E3">
        <w:rPr>
          <w:spacing w:val="-5"/>
          <w:w w:val="105"/>
        </w:rPr>
        <w:t xml:space="preserve"> </w:t>
      </w:r>
      <w:r w:rsidRPr="00BE18E3">
        <w:rPr>
          <w:w w:val="105"/>
        </w:rPr>
        <w:t>text</w:t>
      </w:r>
      <w:r w:rsidRPr="00BE18E3">
        <w:rPr>
          <w:spacing w:val="-10"/>
          <w:w w:val="105"/>
        </w:rPr>
        <w:t xml:space="preserve"> </w:t>
      </w:r>
      <w:r w:rsidRPr="00BE18E3">
        <w:rPr>
          <w:w w:val="105"/>
        </w:rPr>
        <w:t>type-specific</w:t>
      </w:r>
      <w:r w:rsidRPr="00BE18E3">
        <w:rPr>
          <w:spacing w:val="-6"/>
          <w:w w:val="105"/>
        </w:rPr>
        <w:t xml:space="preserve"> </w:t>
      </w:r>
      <w:r w:rsidRPr="00BE18E3">
        <w:rPr>
          <w:w w:val="105"/>
        </w:rPr>
        <w:t>differences</w:t>
      </w:r>
      <w:r w:rsidRPr="00BE18E3">
        <w:rPr>
          <w:spacing w:val="-7"/>
          <w:w w:val="105"/>
        </w:rPr>
        <w:t xml:space="preserve"> </w:t>
      </w:r>
      <w:r w:rsidRPr="00BE18E3">
        <w:rPr>
          <w:w w:val="105"/>
        </w:rPr>
        <w:t>be</w:t>
      </w:r>
      <w:r w:rsidRPr="00BE18E3">
        <w:rPr>
          <w:spacing w:val="-6"/>
          <w:w w:val="105"/>
        </w:rPr>
        <w:t xml:space="preserve"> </w:t>
      </w:r>
      <w:r w:rsidRPr="00BE18E3">
        <w:rPr>
          <w:w w:val="105"/>
        </w:rPr>
        <w:t>identified?</w:t>
      </w:r>
      <w:r w:rsidRPr="00BE18E3">
        <w:rPr>
          <w:spacing w:val="-6"/>
          <w:w w:val="105"/>
        </w:rPr>
        <w:t xml:space="preserve"> </w:t>
      </w:r>
      <w:r w:rsidRPr="00BE18E3">
        <w:rPr>
          <w:w w:val="105"/>
        </w:rPr>
        <w:t>(cf.</w:t>
      </w:r>
      <w:r w:rsidRPr="00BE18E3">
        <w:rPr>
          <w:spacing w:val="-9"/>
          <w:w w:val="105"/>
        </w:rPr>
        <w:t xml:space="preserve"> </w:t>
      </w:r>
      <w:r w:rsidRPr="00BE18E3">
        <w:rPr>
          <w:w w:val="105"/>
        </w:rPr>
        <w:t>Engelberg</w:t>
      </w:r>
      <w:r w:rsidRPr="00BE18E3">
        <w:rPr>
          <w:spacing w:val="-5"/>
          <w:w w:val="105"/>
        </w:rPr>
        <w:t xml:space="preserve"> </w:t>
      </w:r>
      <w:r w:rsidRPr="00BE18E3">
        <w:rPr>
          <w:i/>
          <w:w w:val="105"/>
        </w:rPr>
        <w:t>et</w:t>
      </w:r>
      <w:r w:rsidRPr="00BE18E3">
        <w:rPr>
          <w:i/>
          <w:spacing w:val="-10"/>
          <w:w w:val="105"/>
        </w:rPr>
        <w:t xml:space="preserve"> </w:t>
      </w:r>
      <w:r w:rsidRPr="00BE18E3">
        <w:rPr>
          <w:i/>
          <w:w w:val="105"/>
        </w:rPr>
        <w:t>al.</w:t>
      </w:r>
      <w:r w:rsidRPr="00BE18E3">
        <w:rPr>
          <w:i/>
          <w:spacing w:val="-8"/>
          <w:w w:val="105"/>
        </w:rPr>
        <w:t xml:space="preserve"> </w:t>
      </w:r>
      <w:r w:rsidRPr="00BE18E3">
        <w:rPr>
          <w:w w:val="105"/>
        </w:rPr>
        <w:t>2012).</w:t>
      </w:r>
    </w:p>
    <w:p w14:paraId="20C3D307" w14:textId="77777777" w:rsidR="00BE18E3" w:rsidRPr="00BE18E3" w:rsidRDefault="00BE18E3" w:rsidP="00BE18E3">
      <w:pPr>
        <w:pStyle w:val="Listenabsatz"/>
        <w:widowControl w:val="0"/>
        <w:numPr>
          <w:ilvl w:val="0"/>
          <w:numId w:val="4"/>
        </w:numPr>
        <w:tabs>
          <w:tab w:val="clear" w:pos="0"/>
          <w:tab w:val="left" w:pos="832"/>
        </w:tabs>
        <w:autoSpaceDE w:val="0"/>
        <w:autoSpaceDN w:val="0"/>
        <w:spacing w:before="120" w:after="120" w:line="240" w:lineRule="auto"/>
        <w:ind w:left="851" w:hanging="851"/>
        <w:contextualSpacing w:val="0"/>
        <w:jc w:val="both"/>
      </w:pPr>
      <w:r w:rsidRPr="00BE18E3">
        <w:rPr>
          <w:w w:val="105"/>
        </w:rPr>
        <w:t>Can</w:t>
      </w:r>
      <w:r w:rsidRPr="00BE18E3">
        <w:rPr>
          <w:spacing w:val="-4"/>
          <w:w w:val="105"/>
        </w:rPr>
        <w:t xml:space="preserve"> </w:t>
      </w:r>
      <w:r w:rsidRPr="00BE18E3">
        <w:rPr>
          <w:w w:val="105"/>
        </w:rPr>
        <w:t>the</w:t>
      </w:r>
      <w:r w:rsidRPr="00BE18E3">
        <w:rPr>
          <w:spacing w:val="-5"/>
          <w:w w:val="105"/>
        </w:rPr>
        <w:t xml:space="preserve"> </w:t>
      </w:r>
      <w:r w:rsidRPr="00BE18E3">
        <w:rPr>
          <w:w w:val="105"/>
        </w:rPr>
        <w:t>verbs</w:t>
      </w:r>
      <w:r w:rsidRPr="00BE18E3">
        <w:rPr>
          <w:spacing w:val="-6"/>
          <w:w w:val="105"/>
        </w:rPr>
        <w:t xml:space="preserve"> </w:t>
      </w:r>
      <w:r w:rsidRPr="00BE18E3">
        <w:rPr>
          <w:w w:val="105"/>
        </w:rPr>
        <w:t>in</w:t>
      </w:r>
      <w:r w:rsidRPr="00BE18E3">
        <w:rPr>
          <w:spacing w:val="-4"/>
          <w:w w:val="105"/>
        </w:rPr>
        <w:t xml:space="preserve"> </w:t>
      </w:r>
      <w:r w:rsidRPr="00BE18E3">
        <w:rPr>
          <w:w w:val="105"/>
        </w:rPr>
        <w:t>both</w:t>
      </w:r>
      <w:r w:rsidRPr="00BE18E3">
        <w:rPr>
          <w:spacing w:val="-4"/>
          <w:w w:val="105"/>
        </w:rPr>
        <w:t xml:space="preserve"> </w:t>
      </w:r>
      <w:r w:rsidRPr="00BE18E3">
        <w:rPr>
          <w:w w:val="105"/>
        </w:rPr>
        <w:t>languages</w:t>
      </w:r>
      <w:r w:rsidRPr="00BE18E3">
        <w:rPr>
          <w:spacing w:val="-6"/>
          <w:w w:val="105"/>
        </w:rPr>
        <w:t xml:space="preserve"> </w:t>
      </w:r>
      <w:r w:rsidRPr="00BE18E3">
        <w:rPr>
          <w:w w:val="105"/>
        </w:rPr>
        <w:t>be</w:t>
      </w:r>
      <w:r w:rsidRPr="00BE18E3">
        <w:rPr>
          <w:spacing w:val="-5"/>
          <w:w w:val="105"/>
        </w:rPr>
        <w:t xml:space="preserve"> </w:t>
      </w:r>
      <w:r w:rsidRPr="00BE18E3">
        <w:rPr>
          <w:w w:val="105"/>
        </w:rPr>
        <w:t>assigned</w:t>
      </w:r>
      <w:r w:rsidRPr="00BE18E3">
        <w:rPr>
          <w:spacing w:val="-4"/>
          <w:w w:val="105"/>
        </w:rPr>
        <w:t xml:space="preserve"> </w:t>
      </w:r>
      <w:r w:rsidRPr="00BE18E3">
        <w:rPr>
          <w:w w:val="105"/>
        </w:rPr>
        <w:t>to</w:t>
      </w:r>
      <w:r w:rsidRPr="00BE18E3">
        <w:rPr>
          <w:spacing w:val="-4"/>
          <w:w w:val="105"/>
        </w:rPr>
        <w:t xml:space="preserve"> </w:t>
      </w:r>
      <w:r w:rsidRPr="00BE18E3">
        <w:rPr>
          <w:w w:val="105"/>
        </w:rPr>
        <w:t>the</w:t>
      </w:r>
      <w:r w:rsidRPr="00BE18E3">
        <w:rPr>
          <w:spacing w:val="-5"/>
          <w:w w:val="105"/>
        </w:rPr>
        <w:t xml:space="preserve"> </w:t>
      </w:r>
      <w:r w:rsidRPr="00BE18E3">
        <w:rPr>
          <w:w w:val="105"/>
        </w:rPr>
        <w:t>same</w:t>
      </w:r>
      <w:r w:rsidRPr="00BE18E3">
        <w:rPr>
          <w:spacing w:val="-5"/>
          <w:w w:val="105"/>
        </w:rPr>
        <w:t xml:space="preserve"> </w:t>
      </w:r>
      <w:r w:rsidRPr="00BE18E3">
        <w:rPr>
          <w:w w:val="105"/>
        </w:rPr>
        <w:t>frames?</w:t>
      </w:r>
      <w:r w:rsidRPr="00BE18E3">
        <w:rPr>
          <w:spacing w:val="-5"/>
          <w:w w:val="105"/>
        </w:rPr>
        <w:t xml:space="preserve"> </w:t>
      </w:r>
      <w:r w:rsidRPr="00BE18E3">
        <w:rPr>
          <w:w w:val="105"/>
        </w:rPr>
        <w:t>(cf.</w:t>
      </w:r>
      <w:r w:rsidRPr="00BE18E3">
        <w:rPr>
          <w:spacing w:val="-8"/>
          <w:w w:val="105"/>
        </w:rPr>
        <w:t xml:space="preserve"> </w:t>
      </w:r>
      <w:r w:rsidRPr="00BE18E3">
        <w:rPr>
          <w:w w:val="105"/>
        </w:rPr>
        <w:t>Boas</w:t>
      </w:r>
      <w:r w:rsidRPr="00BE18E3">
        <w:rPr>
          <w:spacing w:val="-6"/>
          <w:w w:val="105"/>
        </w:rPr>
        <w:t xml:space="preserve"> </w:t>
      </w:r>
      <w:r w:rsidRPr="00BE18E3">
        <w:rPr>
          <w:w w:val="105"/>
        </w:rPr>
        <w:t>2009)</w:t>
      </w:r>
      <w:r w:rsidRPr="00BE18E3">
        <w:rPr>
          <w:spacing w:val="1"/>
          <w:w w:val="105"/>
        </w:rPr>
        <w:t xml:space="preserve"> </w:t>
      </w:r>
    </w:p>
    <w:p w14:paraId="138386F1" w14:textId="4A1F5547" w:rsidR="00BE18E3" w:rsidRPr="00BE18E3" w:rsidRDefault="00BE18E3" w:rsidP="00BE18E3">
      <w:pPr>
        <w:pStyle w:val="Listenabsatz"/>
        <w:tabs>
          <w:tab w:val="left" w:pos="832"/>
        </w:tabs>
        <w:spacing w:before="120" w:after="120"/>
        <w:ind w:left="0" w:firstLine="0"/>
      </w:pPr>
      <w:r w:rsidRPr="00BE18E3">
        <w:rPr>
          <w:w w:val="105"/>
        </w:rPr>
        <w:t>These research questions in part follow the tradition of valence grammar and connect to</w:t>
      </w:r>
      <w:r w:rsidRPr="00BE18E3">
        <w:rPr>
          <w:spacing w:val="-58"/>
          <w:w w:val="105"/>
        </w:rPr>
        <w:t xml:space="preserve"> </w:t>
      </w:r>
      <w:r w:rsidRPr="00BE18E3">
        <w:rPr>
          <w:w w:val="105"/>
        </w:rPr>
        <w:t>current approaches to the analysis and description of argument structures and argument</w:t>
      </w:r>
      <w:r w:rsidRPr="00BE18E3">
        <w:rPr>
          <w:spacing w:val="1"/>
          <w:w w:val="105"/>
        </w:rPr>
        <w:t xml:space="preserve"> </w:t>
      </w:r>
      <w:r w:rsidRPr="00BE18E3">
        <w:rPr>
          <w:w w:val="105"/>
        </w:rPr>
        <w:t>structure</w:t>
      </w:r>
      <w:r w:rsidRPr="00BE18E3">
        <w:rPr>
          <w:spacing w:val="-8"/>
          <w:w w:val="105"/>
        </w:rPr>
        <w:t xml:space="preserve"> </w:t>
      </w:r>
      <w:r w:rsidRPr="00BE18E3">
        <w:rPr>
          <w:w w:val="105"/>
        </w:rPr>
        <w:t>patterns,</w:t>
      </w:r>
      <w:r w:rsidRPr="00BE18E3">
        <w:rPr>
          <w:spacing w:val="-11"/>
          <w:w w:val="105"/>
        </w:rPr>
        <w:t xml:space="preserve"> </w:t>
      </w:r>
      <w:r w:rsidRPr="00BE18E3">
        <w:rPr>
          <w:w w:val="105"/>
        </w:rPr>
        <w:t>which</w:t>
      </w:r>
      <w:r w:rsidRPr="00BE18E3">
        <w:rPr>
          <w:spacing w:val="-7"/>
          <w:w w:val="105"/>
        </w:rPr>
        <w:t xml:space="preserve"> </w:t>
      </w:r>
      <w:r w:rsidRPr="00BE18E3">
        <w:rPr>
          <w:w w:val="105"/>
        </w:rPr>
        <w:t>explicitly</w:t>
      </w:r>
      <w:r w:rsidRPr="00BE18E3">
        <w:rPr>
          <w:spacing w:val="-6"/>
          <w:w w:val="105"/>
        </w:rPr>
        <w:t xml:space="preserve"> </w:t>
      </w:r>
      <w:r w:rsidRPr="00BE18E3">
        <w:rPr>
          <w:w w:val="105"/>
        </w:rPr>
        <w:t>address</w:t>
      </w:r>
      <w:r w:rsidRPr="00BE18E3">
        <w:rPr>
          <w:spacing w:val="-9"/>
          <w:w w:val="105"/>
        </w:rPr>
        <w:t xml:space="preserve"> </w:t>
      </w:r>
      <w:r w:rsidRPr="00BE18E3">
        <w:rPr>
          <w:w w:val="105"/>
        </w:rPr>
        <w:t>the</w:t>
      </w:r>
      <w:r w:rsidRPr="00BE18E3">
        <w:rPr>
          <w:spacing w:val="-7"/>
          <w:w w:val="105"/>
        </w:rPr>
        <w:t xml:space="preserve"> </w:t>
      </w:r>
      <w:r w:rsidRPr="00BE18E3">
        <w:rPr>
          <w:w w:val="105"/>
        </w:rPr>
        <w:t>syntax-semantics</w:t>
      </w:r>
      <w:r w:rsidRPr="00BE18E3">
        <w:rPr>
          <w:spacing w:val="-8"/>
          <w:w w:val="105"/>
        </w:rPr>
        <w:t xml:space="preserve"> </w:t>
      </w:r>
      <w:r w:rsidRPr="00BE18E3">
        <w:rPr>
          <w:w w:val="105"/>
        </w:rPr>
        <w:t>interface</w:t>
      </w:r>
      <w:r w:rsidRPr="00BE18E3">
        <w:rPr>
          <w:spacing w:val="-8"/>
          <w:w w:val="105"/>
        </w:rPr>
        <w:t xml:space="preserve"> </w:t>
      </w:r>
      <w:r w:rsidRPr="00BE18E3">
        <w:rPr>
          <w:w w:val="105"/>
        </w:rPr>
        <w:t>(Primus</w:t>
      </w:r>
      <w:r w:rsidRPr="00BE18E3">
        <w:rPr>
          <w:spacing w:val="-8"/>
          <w:w w:val="105"/>
        </w:rPr>
        <w:t xml:space="preserve"> </w:t>
      </w:r>
      <w:r w:rsidRPr="00BE18E3">
        <w:rPr>
          <w:w w:val="105"/>
        </w:rPr>
        <w:t>2012,</w:t>
      </w:r>
      <w:r w:rsidRPr="00BE18E3">
        <w:rPr>
          <w:spacing w:val="-58"/>
          <w:w w:val="105"/>
        </w:rPr>
        <w:t xml:space="preserve"> </w:t>
      </w:r>
      <w:r w:rsidRPr="00BE18E3">
        <w:rPr>
          <w:w w:val="105"/>
        </w:rPr>
        <w:t>Herbst</w:t>
      </w:r>
      <w:r w:rsidRPr="00BE18E3">
        <w:rPr>
          <w:spacing w:val="1"/>
          <w:w w:val="105"/>
        </w:rPr>
        <w:t xml:space="preserve"> </w:t>
      </w:r>
      <w:r w:rsidRPr="00BE18E3">
        <w:rPr>
          <w:w w:val="105"/>
        </w:rPr>
        <w:t>2014,</w:t>
      </w:r>
      <w:r w:rsidRPr="00BE18E3">
        <w:rPr>
          <w:spacing w:val="1"/>
          <w:w w:val="105"/>
        </w:rPr>
        <w:t xml:space="preserve"> </w:t>
      </w:r>
      <w:r w:rsidRPr="00BE18E3">
        <w:rPr>
          <w:w w:val="105"/>
        </w:rPr>
        <w:t>Engelberg</w:t>
      </w:r>
      <w:r w:rsidRPr="00BE18E3">
        <w:rPr>
          <w:spacing w:val="1"/>
          <w:w w:val="105"/>
        </w:rPr>
        <w:t xml:space="preserve"> </w:t>
      </w:r>
      <w:r w:rsidRPr="00BE18E3">
        <w:rPr>
          <w:w w:val="105"/>
        </w:rPr>
        <w:t>2018)</w:t>
      </w:r>
      <w:r w:rsidRPr="00BE18E3">
        <w:rPr>
          <w:spacing w:val="1"/>
          <w:w w:val="105"/>
        </w:rPr>
        <w:t xml:space="preserve"> </w:t>
      </w:r>
      <w:r w:rsidRPr="00BE18E3">
        <w:rPr>
          <w:w w:val="105"/>
        </w:rPr>
        <w:t>and</w:t>
      </w:r>
      <w:r w:rsidRPr="00BE18E3">
        <w:rPr>
          <w:spacing w:val="1"/>
          <w:w w:val="105"/>
        </w:rPr>
        <w:t xml:space="preserve"> </w:t>
      </w:r>
      <w:r w:rsidRPr="00BE18E3">
        <w:rPr>
          <w:w w:val="105"/>
        </w:rPr>
        <w:t>enable</w:t>
      </w:r>
      <w:r w:rsidRPr="00BE18E3">
        <w:rPr>
          <w:spacing w:val="1"/>
          <w:w w:val="105"/>
        </w:rPr>
        <w:t xml:space="preserve"> </w:t>
      </w:r>
      <w:r w:rsidRPr="00BE18E3">
        <w:rPr>
          <w:w w:val="105"/>
        </w:rPr>
        <w:t>a</w:t>
      </w:r>
      <w:r w:rsidRPr="00BE18E3">
        <w:rPr>
          <w:spacing w:val="1"/>
          <w:w w:val="105"/>
        </w:rPr>
        <w:t xml:space="preserve"> </w:t>
      </w:r>
      <w:r w:rsidRPr="00BE18E3">
        <w:rPr>
          <w:w w:val="105"/>
        </w:rPr>
        <w:t>connection</w:t>
      </w:r>
      <w:r w:rsidRPr="00BE18E3">
        <w:rPr>
          <w:spacing w:val="1"/>
          <w:w w:val="105"/>
        </w:rPr>
        <w:t xml:space="preserve"> </w:t>
      </w:r>
      <w:r w:rsidRPr="00BE18E3">
        <w:rPr>
          <w:w w:val="105"/>
        </w:rPr>
        <w:t>to</w:t>
      </w:r>
      <w:r w:rsidRPr="00BE18E3">
        <w:rPr>
          <w:spacing w:val="1"/>
          <w:w w:val="105"/>
        </w:rPr>
        <w:t xml:space="preserve"> </w:t>
      </w:r>
      <w:r w:rsidRPr="00BE18E3">
        <w:rPr>
          <w:w w:val="105"/>
        </w:rPr>
        <w:t>contrastive</w:t>
      </w:r>
      <w:r w:rsidRPr="00BE18E3">
        <w:rPr>
          <w:spacing w:val="1"/>
          <w:w w:val="105"/>
        </w:rPr>
        <w:t xml:space="preserve"> </w:t>
      </w:r>
      <w:r w:rsidRPr="00BE18E3">
        <w:rPr>
          <w:w w:val="105"/>
        </w:rPr>
        <w:t>issues</w:t>
      </w:r>
      <w:r w:rsidRPr="00BE18E3">
        <w:rPr>
          <w:spacing w:val="1"/>
          <w:w w:val="105"/>
        </w:rPr>
        <w:t xml:space="preserve"> </w:t>
      </w:r>
      <w:r w:rsidRPr="00BE18E3">
        <w:rPr>
          <w:w w:val="105"/>
        </w:rPr>
        <w:lastRenderedPageBreak/>
        <w:t>(Cosma/Engelberg 2014</w:t>
      </w:r>
      <w:r w:rsidR="00743934">
        <w:rPr>
          <w:w w:val="105"/>
        </w:rPr>
        <w:t>;</w:t>
      </w:r>
      <w:r w:rsidRPr="00BE18E3">
        <w:rPr>
          <w:w w:val="105"/>
        </w:rPr>
        <w:t xml:space="preserve"> Engelberg </w:t>
      </w:r>
      <w:r w:rsidRPr="00BE18E3">
        <w:rPr>
          <w:i/>
          <w:w w:val="105"/>
        </w:rPr>
        <w:t xml:space="preserve">et al. </w:t>
      </w:r>
      <w:r w:rsidRPr="00BE18E3">
        <w:rPr>
          <w:w w:val="105"/>
        </w:rPr>
        <w:t>2015</w:t>
      </w:r>
      <w:r w:rsidR="00743934">
        <w:rPr>
          <w:w w:val="105"/>
        </w:rPr>
        <w:t>;</w:t>
      </w:r>
      <w:r w:rsidRPr="00BE18E3">
        <w:rPr>
          <w:w w:val="105"/>
        </w:rPr>
        <w:t xml:space="preserve"> González Ribao 2021). However, the</w:t>
      </w:r>
      <w:r w:rsidRPr="00BE18E3">
        <w:rPr>
          <w:spacing w:val="1"/>
          <w:w w:val="105"/>
        </w:rPr>
        <w:t xml:space="preserve"> </w:t>
      </w:r>
      <w:r w:rsidRPr="00BE18E3">
        <w:rPr>
          <w:w w:val="105"/>
        </w:rPr>
        <w:t>concept of 'argument structure patterns' underlying this study, allows for an analysis</w:t>
      </w:r>
      <w:r w:rsidRPr="00BE18E3">
        <w:rPr>
          <w:spacing w:val="1"/>
          <w:w w:val="105"/>
        </w:rPr>
        <w:t xml:space="preserve"> </w:t>
      </w:r>
      <w:r w:rsidRPr="00BE18E3">
        <w:rPr>
          <w:w w:val="105"/>
        </w:rPr>
        <w:t>independent</w:t>
      </w:r>
      <w:r w:rsidRPr="00BE18E3">
        <w:rPr>
          <w:spacing w:val="-7"/>
          <w:w w:val="105"/>
        </w:rPr>
        <w:t xml:space="preserve"> </w:t>
      </w:r>
      <w:r w:rsidRPr="00BE18E3">
        <w:rPr>
          <w:w w:val="105"/>
        </w:rPr>
        <w:t>of</w:t>
      </w:r>
      <w:r w:rsidRPr="00BE18E3">
        <w:rPr>
          <w:spacing w:val="-5"/>
          <w:w w:val="105"/>
        </w:rPr>
        <w:t xml:space="preserve"> </w:t>
      </w:r>
      <w:r w:rsidRPr="00BE18E3">
        <w:rPr>
          <w:w w:val="105"/>
        </w:rPr>
        <w:t>the</w:t>
      </w:r>
      <w:r w:rsidRPr="00BE18E3">
        <w:rPr>
          <w:spacing w:val="-2"/>
          <w:w w:val="105"/>
        </w:rPr>
        <w:t xml:space="preserve"> </w:t>
      </w:r>
      <w:r w:rsidRPr="00BE18E3">
        <w:rPr>
          <w:w w:val="105"/>
        </w:rPr>
        <w:t>chosen</w:t>
      </w:r>
      <w:r w:rsidRPr="00BE18E3">
        <w:rPr>
          <w:spacing w:val="-2"/>
          <w:w w:val="105"/>
        </w:rPr>
        <w:t xml:space="preserve"> </w:t>
      </w:r>
      <w:r w:rsidRPr="00BE18E3">
        <w:rPr>
          <w:w w:val="105"/>
        </w:rPr>
        <w:t>linguistic</w:t>
      </w:r>
      <w:r w:rsidRPr="00BE18E3">
        <w:rPr>
          <w:spacing w:val="-2"/>
          <w:w w:val="105"/>
        </w:rPr>
        <w:t xml:space="preserve"> </w:t>
      </w:r>
      <w:r w:rsidRPr="00BE18E3">
        <w:rPr>
          <w:w w:val="105"/>
        </w:rPr>
        <w:t>approach</w:t>
      </w:r>
      <w:r w:rsidRPr="00BE18E3">
        <w:rPr>
          <w:spacing w:val="-2"/>
          <w:w w:val="105"/>
        </w:rPr>
        <w:t xml:space="preserve"> </w:t>
      </w:r>
      <w:r w:rsidRPr="00BE18E3">
        <w:rPr>
          <w:w w:val="105"/>
        </w:rPr>
        <w:t>(cf.</w:t>
      </w:r>
      <w:r w:rsidRPr="00BE18E3">
        <w:rPr>
          <w:spacing w:val="-7"/>
          <w:w w:val="105"/>
        </w:rPr>
        <w:t xml:space="preserve"> </w:t>
      </w:r>
      <w:r w:rsidRPr="00BE18E3">
        <w:rPr>
          <w:w w:val="105"/>
        </w:rPr>
        <w:t>Proost/Winkler</w:t>
      </w:r>
      <w:r w:rsidRPr="00BE18E3">
        <w:rPr>
          <w:spacing w:val="-4"/>
          <w:w w:val="105"/>
        </w:rPr>
        <w:t xml:space="preserve"> </w:t>
      </w:r>
      <w:r w:rsidRPr="00BE18E3">
        <w:rPr>
          <w:w w:val="105"/>
        </w:rPr>
        <w:t>2015).</w:t>
      </w:r>
    </w:p>
    <w:p w14:paraId="37DC8565" w14:textId="77777777" w:rsidR="00BE18E3" w:rsidRPr="00BE18E3" w:rsidRDefault="00BE18E3" w:rsidP="00BE18E3">
      <w:pPr>
        <w:pStyle w:val="Textkrper"/>
        <w:spacing w:before="120" w:after="120"/>
      </w:pPr>
      <w:r w:rsidRPr="00BE18E3">
        <w:rPr>
          <w:w w:val="105"/>
        </w:rPr>
        <w:t>The results of the quantitative and qualitative analyses also provide the basis for an</w:t>
      </w:r>
      <w:r w:rsidRPr="00BE18E3">
        <w:rPr>
          <w:spacing w:val="1"/>
          <w:w w:val="105"/>
        </w:rPr>
        <w:t xml:space="preserve"> </w:t>
      </w:r>
      <w:r w:rsidRPr="00BE18E3">
        <w:t>application-oriented proposal within the framework of the development of a multilingual</w:t>
      </w:r>
      <w:r w:rsidRPr="00BE18E3">
        <w:rPr>
          <w:spacing w:val="1"/>
        </w:rPr>
        <w:t xml:space="preserve"> </w:t>
      </w:r>
      <w:r w:rsidRPr="00BE18E3">
        <w:rPr>
          <w:w w:val="105"/>
        </w:rPr>
        <w:t>lexico-grammatical information system for foreign language acquisition, which among</w:t>
      </w:r>
      <w:r w:rsidRPr="00BE18E3">
        <w:rPr>
          <w:spacing w:val="1"/>
          <w:w w:val="105"/>
        </w:rPr>
        <w:t xml:space="preserve"> </w:t>
      </w:r>
      <w:r w:rsidRPr="00BE18E3">
        <w:rPr>
          <w:w w:val="105"/>
        </w:rPr>
        <w:t>others</w:t>
      </w:r>
      <w:r w:rsidRPr="00BE18E3">
        <w:rPr>
          <w:spacing w:val="-3"/>
          <w:w w:val="105"/>
        </w:rPr>
        <w:t xml:space="preserve"> </w:t>
      </w:r>
      <w:r w:rsidRPr="00BE18E3">
        <w:rPr>
          <w:w w:val="105"/>
        </w:rPr>
        <w:t>offers</w:t>
      </w:r>
      <w:r w:rsidRPr="00BE18E3">
        <w:rPr>
          <w:spacing w:val="-3"/>
          <w:w w:val="105"/>
        </w:rPr>
        <w:t xml:space="preserve"> </w:t>
      </w:r>
      <w:r w:rsidRPr="00BE18E3">
        <w:rPr>
          <w:w w:val="105"/>
        </w:rPr>
        <w:t>explicit</w:t>
      </w:r>
      <w:r w:rsidRPr="00BE18E3">
        <w:rPr>
          <w:spacing w:val="-5"/>
          <w:w w:val="105"/>
        </w:rPr>
        <w:t xml:space="preserve"> </w:t>
      </w:r>
      <w:r w:rsidRPr="00BE18E3">
        <w:rPr>
          <w:w w:val="105"/>
        </w:rPr>
        <w:t>contrastive</w:t>
      </w:r>
      <w:r w:rsidRPr="00BE18E3">
        <w:rPr>
          <w:spacing w:val="-2"/>
          <w:w w:val="105"/>
        </w:rPr>
        <w:t xml:space="preserve"> </w:t>
      </w:r>
      <w:r w:rsidRPr="00BE18E3">
        <w:rPr>
          <w:w w:val="105"/>
        </w:rPr>
        <w:t>commentaries</w:t>
      </w:r>
      <w:r w:rsidRPr="00BE18E3">
        <w:rPr>
          <w:spacing w:val="-2"/>
          <w:w w:val="105"/>
        </w:rPr>
        <w:t xml:space="preserve"> </w:t>
      </w:r>
      <w:r w:rsidRPr="00BE18E3">
        <w:rPr>
          <w:w w:val="105"/>
        </w:rPr>
        <w:t>(</w:t>
      </w:r>
      <w:r w:rsidRPr="00BE18E3">
        <w:t>Fernández Méndez/Mas Álvarez/Meliss 2022</w:t>
      </w:r>
      <w:r w:rsidRPr="00BE18E3">
        <w:rPr>
          <w:w w:val="105"/>
        </w:rPr>
        <w:t>).</w:t>
      </w:r>
    </w:p>
    <w:p w14:paraId="21F65639" w14:textId="77777777" w:rsidR="00BE18E3" w:rsidRPr="00BE18E3" w:rsidRDefault="00BE18E3" w:rsidP="00BE18E3">
      <w:pPr>
        <w:pStyle w:val="Textkrper"/>
        <w:spacing w:before="120" w:after="120"/>
      </w:pPr>
      <w:r w:rsidRPr="00BE18E3">
        <w:rPr>
          <w:w w:val="105"/>
        </w:rPr>
        <w:t>The main aim of this contribution is not only to present the results and point out</w:t>
      </w:r>
      <w:r w:rsidRPr="00BE18E3">
        <w:rPr>
          <w:spacing w:val="1"/>
          <w:w w:val="105"/>
        </w:rPr>
        <w:t xml:space="preserve"> </w:t>
      </w:r>
      <w:r w:rsidRPr="00BE18E3">
        <w:rPr>
          <w:w w:val="105"/>
        </w:rPr>
        <w:t>application-oriented possibilities, but also to stimulate a discussion that particularly</w:t>
      </w:r>
      <w:r w:rsidRPr="00BE18E3">
        <w:rPr>
          <w:spacing w:val="1"/>
          <w:w w:val="105"/>
        </w:rPr>
        <w:t xml:space="preserve"> </w:t>
      </w:r>
      <w:r w:rsidRPr="00BE18E3">
        <w:rPr>
          <w:w w:val="105"/>
        </w:rPr>
        <w:t>concerns</w:t>
      </w:r>
      <w:r w:rsidRPr="00BE18E3">
        <w:rPr>
          <w:spacing w:val="-5"/>
          <w:w w:val="105"/>
        </w:rPr>
        <w:t xml:space="preserve"> </w:t>
      </w:r>
      <w:r w:rsidRPr="00BE18E3">
        <w:rPr>
          <w:w w:val="105"/>
        </w:rPr>
        <w:t>the</w:t>
      </w:r>
      <w:r w:rsidRPr="00BE18E3">
        <w:rPr>
          <w:spacing w:val="-3"/>
          <w:w w:val="105"/>
        </w:rPr>
        <w:t xml:space="preserve"> </w:t>
      </w:r>
      <w:r w:rsidRPr="00BE18E3">
        <w:rPr>
          <w:w w:val="105"/>
        </w:rPr>
        <w:t>methodological-empirical</w:t>
      </w:r>
      <w:r w:rsidRPr="00BE18E3">
        <w:rPr>
          <w:spacing w:val="-7"/>
          <w:w w:val="105"/>
        </w:rPr>
        <w:t xml:space="preserve"> </w:t>
      </w:r>
      <w:r w:rsidRPr="00BE18E3">
        <w:rPr>
          <w:w w:val="105"/>
        </w:rPr>
        <w:t>foundations</w:t>
      </w:r>
      <w:r w:rsidRPr="00BE18E3">
        <w:rPr>
          <w:spacing w:val="-4"/>
          <w:w w:val="105"/>
        </w:rPr>
        <w:t xml:space="preserve"> </w:t>
      </w:r>
      <w:r w:rsidRPr="00BE18E3">
        <w:rPr>
          <w:w w:val="105"/>
        </w:rPr>
        <w:t>for</w:t>
      </w:r>
      <w:r w:rsidRPr="00BE18E3">
        <w:rPr>
          <w:spacing w:val="-5"/>
          <w:w w:val="105"/>
        </w:rPr>
        <w:t xml:space="preserve"> </w:t>
      </w:r>
      <w:r w:rsidRPr="00BE18E3">
        <w:rPr>
          <w:w w:val="105"/>
        </w:rPr>
        <w:t>contrastive</w:t>
      </w:r>
      <w:r w:rsidRPr="00BE18E3">
        <w:rPr>
          <w:spacing w:val="-3"/>
          <w:w w:val="105"/>
        </w:rPr>
        <w:t xml:space="preserve"> </w:t>
      </w:r>
      <w:r w:rsidRPr="00BE18E3">
        <w:rPr>
          <w:w w:val="105"/>
        </w:rPr>
        <w:t>studies.</w:t>
      </w:r>
    </w:p>
    <w:p w14:paraId="2251DEC1" w14:textId="77777777" w:rsidR="00AB181E" w:rsidRDefault="00224AA6">
      <w:pPr>
        <w:pStyle w:val="Rechtsgrundlagenverzeichnis"/>
      </w:pPr>
      <w:r>
        <w:t>References</w:t>
      </w:r>
    </w:p>
    <w:p w14:paraId="3D060BEF" w14:textId="77777777" w:rsidR="00BE18E3" w:rsidRPr="00BE18E3" w:rsidRDefault="00BE18E3" w:rsidP="00BE18E3">
      <w:pPr>
        <w:pStyle w:val="Literaturverzeichnis1"/>
        <w:ind w:left="397" w:hanging="397"/>
        <w:rPr>
          <w:lang w:val="de-DE"/>
        </w:rPr>
      </w:pPr>
      <w:r w:rsidRPr="00BE18E3">
        <w:rPr>
          <w:lang w:val="en-US"/>
        </w:rPr>
        <w:t xml:space="preserve">Boas, H. C. (2009): Semantic frames as interlingual representations for multilingual lexical databases. In: Boas, Hans C. (ed.): </w:t>
      </w:r>
      <w:r w:rsidRPr="00BE18E3">
        <w:rPr>
          <w:i/>
          <w:lang w:val="en-US"/>
        </w:rPr>
        <w:t>Multilingual FrameNets in Computational Lexicography: Methods and Applications</w:t>
      </w:r>
      <w:r w:rsidRPr="00BE18E3">
        <w:rPr>
          <w:lang w:val="en-US"/>
        </w:rPr>
        <w:t xml:space="preserve">. </w:t>
      </w:r>
      <w:r w:rsidRPr="00BE18E3">
        <w:rPr>
          <w:lang w:val="de-DE"/>
        </w:rPr>
        <w:t>Berlin: de Gruyter, 59–100.</w:t>
      </w:r>
    </w:p>
    <w:p w14:paraId="2C04A5FE" w14:textId="77777777" w:rsidR="00BE18E3" w:rsidRPr="00BE18E3" w:rsidRDefault="00BE18E3" w:rsidP="00BE18E3">
      <w:pPr>
        <w:pStyle w:val="Literaturverzeichnis1"/>
        <w:ind w:left="397" w:hanging="397"/>
        <w:rPr>
          <w:lang w:val="de-DE"/>
        </w:rPr>
      </w:pPr>
      <w:r w:rsidRPr="00BE18E3">
        <w:rPr>
          <w:lang w:val="de-DE"/>
        </w:rPr>
        <w:t xml:space="preserve">COMBIDIGILEX: </w:t>
      </w:r>
      <w:hyperlink r:id="rId7" w:history="1">
        <w:r w:rsidRPr="00BE18E3">
          <w:rPr>
            <w:rStyle w:val="Hyperlink"/>
            <w:lang w:val="de-DE"/>
          </w:rPr>
          <w:t>https://combidigilex.wixsite.com/deutsch</w:t>
        </w:r>
      </w:hyperlink>
    </w:p>
    <w:p w14:paraId="4960D6C4" w14:textId="4D0EBF40" w:rsidR="00BE18E3" w:rsidRPr="00BE18E3" w:rsidRDefault="00BE18E3" w:rsidP="00BE18E3">
      <w:pPr>
        <w:pStyle w:val="Literaturverzeichnis1"/>
        <w:ind w:left="397" w:hanging="397"/>
        <w:rPr>
          <w:lang w:val="en-US"/>
        </w:rPr>
      </w:pPr>
      <w:r w:rsidRPr="00BE18E3">
        <w:rPr>
          <w:lang w:val="de-DE"/>
        </w:rPr>
        <w:t xml:space="preserve">Cosma, R. / Engelberg, S. (2014): Subjektsätze als alternative Argumentrealisierungen im Deutschen und Rumänischen: Eine kontrastive quantitative Korpusstudie zu Psych- Verben. In: Cosma, Ruxandra </w:t>
      </w:r>
      <w:r w:rsidRPr="00BE18E3">
        <w:rPr>
          <w:i/>
          <w:lang w:val="de-DE"/>
        </w:rPr>
        <w:t xml:space="preserve">et al. </w:t>
      </w:r>
      <w:r w:rsidRPr="00BE18E3">
        <w:rPr>
          <w:lang w:val="de-DE"/>
        </w:rPr>
        <w:t xml:space="preserve">(eds.): </w:t>
      </w:r>
      <w:r w:rsidRPr="00BE18E3">
        <w:rPr>
          <w:i/>
          <w:lang w:val="de-DE"/>
        </w:rPr>
        <w:t>Komplexe Argumentstrukturen: Kontrastive Untersuchungen zum Deutschen, Rumänischen und Englischen</w:t>
      </w:r>
      <w:r w:rsidRPr="00BE18E3">
        <w:rPr>
          <w:lang w:val="de-DE"/>
        </w:rPr>
        <w:t xml:space="preserve">. </w:t>
      </w:r>
      <w:r w:rsidRPr="00BE18E3">
        <w:rPr>
          <w:lang w:val="en-US"/>
        </w:rPr>
        <w:t>Berlin: de Gruyter</w:t>
      </w:r>
      <w:r w:rsidR="00FB2E06">
        <w:rPr>
          <w:lang w:val="en-US"/>
        </w:rPr>
        <w:t>,</w:t>
      </w:r>
      <w:r w:rsidRPr="00BE18E3">
        <w:rPr>
          <w:lang w:val="en-US"/>
        </w:rPr>
        <w:t xml:space="preserve"> 339–420</w:t>
      </w:r>
    </w:p>
    <w:p w14:paraId="231C00B6" w14:textId="77777777" w:rsidR="00BE18E3" w:rsidRPr="00BE18E3" w:rsidRDefault="00BE18E3" w:rsidP="00BE18E3">
      <w:pPr>
        <w:pStyle w:val="Literaturverzeichnis1"/>
        <w:ind w:left="397" w:hanging="397"/>
        <w:rPr>
          <w:lang w:val="en-US"/>
        </w:rPr>
      </w:pPr>
      <w:r w:rsidRPr="00BE18E3">
        <w:rPr>
          <w:lang w:val="en-US"/>
        </w:rPr>
        <w:t xml:space="preserve">Engelberg, S. (2018): The argument structure of psych-verbs: A quantitative corpus study on cognitive entrenchment. In: Boas, H. C. / Ziem, A. (eds.): </w:t>
      </w:r>
      <w:r w:rsidRPr="00BE18E3">
        <w:rPr>
          <w:i/>
          <w:lang w:val="en-US"/>
        </w:rPr>
        <w:t>Constructional approaches to syntactic structures in German</w:t>
      </w:r>
      <w:r w:rsidRPr="00BE18E3">
        <w:rPr>
          <w:lang w:val="en-US"/>
        </w:rPr>
        <w:t xml:space="preserve">. - Berlin </w:t>
      </w:r>
      <w:r w:rsidRPr="00BE18E3">
        <w:rPr>
          <w:i/>
          <w:iCs/>
          <w:lang w:val="en-US"/>
        </w:rPr>
        <w:t>et al.</w:t>
      </w:r>
      <w:r w:rsidRPr="00BE18E3">
        <w:rPr>
          <w:lang w:val="en-US"/>
        </w:rPr>
        <w:t>: de Gruyter, 47-84.</w:t>
      </w:r>
    </w:p>
    <w:p w14:paraId="045401FD" w14:textId="2C2121B1" w:rsidR="00BE18E3" w:rsidRPr="00BE18E3" w:rsidRDefault="00BE18E3" w:rsidP="00BE18E3">
      <w:pPr>
        <w:pStyle w:val="Literaturverzeichnis1"/>
        <w:ind w:left="397" w:hanging="397"/>
        <w:rPr>
          <w:lang w:val="de-DE"/>
        </w:rPr>
      </w:pPr>
      <w:r w:rsidRPr="00BE18E3">
        <w:rPr>
          <w:lang w:val="en-US"/>
        </w:rPr>
        <w:t xml:space="preserve">Engelberg, S. / Koplenig, A. / Proost, K. / Winkler, E. (2012): Argument structure and text genre: cross-corpus evaluation of the distributional characteristics of argument structure realizations. - </w:t>
      </w:r>
      <w:r w:rsidRPr="00BE18E3">
        <w:rPr>
          <w:i/>
          <w:lang w:val="en-US"/>
        </w:rPr>
        <w:t>Lexicographica 28</w:t>
      </w:r>
      <w:r w:rsidRPr="00BE18E3">
        <w:rPr>
          <w:lang w:val="en-US"/>
        </w:rPr>
        <w:t xml:space="preserve">. </w:t>
      </w:r>
      <w:r w:rsidRPr="00BE18E3">
        <w:rPr>
          <w:lang w:val="de-DE"/>
        </w:rPr>
        <w:t>Berlin/Boston: de Gruyter</w:t>
      </w:r>
      <w:r w:rsidR="00FB2E06">
        <w:rPr>
          <w:lang w:val="de-DE"/>
        </w:rPr>
        <w:t>,</w:t>
      </w:r>
      <w:r w:rsidRPr="00BE18E3">
        <w:rPr>
          <w:lang w:val="de-DE"/>
        </w:rPr>
        <w:t xml:space="preserve"> 13–48.</w:t>
      </w:r>
    </w:p>
    <w:p w14:paraId="25DCFF68" w14:textId="77777777" w:rsidR="00BE18E3" w:rsidRPr="00BE18E3" w:rsidRDefault="00BE18E3" w:rsidP="00BE18E3">
      <w:pPr>
        <w:pStyle w:val="Literaturverzeichnis1"/>
        <w:ind w:left="397" w:hanging="397"/>
        <w:rPr>
          <w:lang w:val="de-DE"/>
        </w:rPr>
      </w:pPr>
      <w:r w:rsidRPr="00BE18E3">
        <w:rPr>
          <w:lang w:val="de-DE"/>
        </w:rPr>
        <w:t xml:space="preserve">Engelberg, S. / Meliss, M. / Proost, K. / Winkler, E. (eds.) (2015): </w:t>
      </w:r>
      <w:r w:rsidRPr="00BE18E3">
        <w:rPr>
          <w:i/>
          <w:lang w:val="de-DE"/>
        </w:rPr>
        <w:t>Argumentstruktur zwischen Valenz und Konstruktion</w:t>
      </w:r>
      <w:r w:rsidRPr="00BE18E3">
        <w:rPr>
          <w:lang w:val="de-DE"/>
        </w:rPr>
        <w:t>. Tübingen: Narr Francke Attempto.</w:t>
      </w:r>
    </w:p>
    <w:p w14:paraId="2A3F10F9" w14:textId="77777777" w:rsidR="00BE18E3" w:rsidRPr="00BE18E3" w:rsidRDefault="00BE18E3" w:rsidP="00BE18E3">
      <w:pPr>
        <w:pStyle w:val="Literaturverzeichnis1"/>
        <w:ind w:left="397" w:hanging="397"/>
        <w:rPr>
          <w:lang w:val="pt-PT"/>
        </w:rPr>
      </w:pPr>
      <w:r w:rsidRPr="00BE18E3">
        <w:rPr>
          <w:lang w:val="de-DE"/>
        </w:rPr>
        <w:t xml:space="preserve">Fernández Méndez, M. / Mas Álvarez, I. / Meliss, M. (2022): Herausforderungen bei der Erstellung der multilingualen, korpusbasierten lexikografischen Ressource CombiDigiLex. - TEISEL. </w:t>
      </w:r>
      <w:r w:rsidRPr="00BE18E3">
        <w:rPr>
          <w:lang w:val="es-ES"/>
        </w:rPr>
        <w:t xml:space="preserve">Tecnologías para la investigación en segundas lenguas, Universitat de Barcelona, 1/2022, 1-26. </w:t>
      </w:r>
      <w:r w:rsidRPr="00BE18E3">
        <w:rPr>
          <w:lang w:val="pt-PT"/>
        </w:rPr>
        <w:t>DOI: https://revistes.ub.edu/index.php/teisel/article/view/36590</w:t>
      </w:r>
    </w:p>
    <w:p w14:paraId="507AF247" w14:textId="77777777" w:rsidR="00BE18E3" w:rsidRPr="00BE18E3" w:rsidRDefault="00BE18E3" w:rsidP="00BE18E3">
      <w:pPr>
        <w:pStyle w:val="Literaturverzeichnis1"/>
        <w:ind w:left="397" w:hanging="397"/>
        <w:rPr>
          <w:lang w:val="de-DE"/>
        </w:rPr>
      </w:pPr>
      <w:r w:rsidRPr="00BE18E3">
        <w:rPr>
          <w:lang w:val="de-DE"/>
        </w:rPr>
        <w:t xml:space="preserve">González Ribao, V. (2021): </w:t>
      </w:r>
      <w:r w:rsidRPr="00BE18E3">
        <w:rPr>
          <w:i/>
          <w:lang w:val="de-DE"/>
        </w:rPr>
        <w:t>Mediale Kommunikationsverben. Das Zusammenspiel von Verb- und Musterbedeutung im Sprachvergleich Deutsch-Spanisch</w:t>
      </w:r>
      <w:r w:rsidRPr="00BE18E3">
        <w:rPr>
          <w:lang w:val="de-DE"/>
        </w:rPr>
        <w:t>. Berlin/Boston: de Gruyter.</w:t>
      </w:r>
    </w:p>
    <w:p w14:paraId="17AD751F" w14:textId="77777777" w:rsidR="00BE18E3" w:rsidRPr="00BE18E3" w:rsidRDefault="00BE18E3" w:rsidP="00BE18E3">
      <w:pPr>
        <w:pStyle w:val="Literaturverzeichnis1"/>
        <w:ind w:left="397" w:hanging="397"/>
        <w:rPr>
          <w:lang w:val="de-DE"/>
        </w:rPr>
      </w:pPr>
      <w:r w:rsidRPr="00BE18E3">
        <w:rPr>
          <w:lang w:val="de-DE"/>
        </w:rPr>
        <w:t xml:space="preserve">Harras, G. / Proost, K. / Winkler, E. (2007): </w:t>
      </w:r>
      <w:r w:rsidRPr="00BE18E3">
        <w:rPr>
          <w:i/>
          <w:lang w:val="de-DE"/>
        </w:rPr>
        <w:t>Handbuch deutscher Kommunikationsverben. Teil II: Lexikalische Strukturen</w:t>
      </w:r>
      <w:r w:rsidRPr="00BE18E3">
        <w:rPr>
          <w:lang w:val="de-DE"/>
        </w:rPr>
        <w:t>. Berlin/New York: de Gruyter.</w:t>
      </w:r>
    </w:p>
    <w:p w14:paraId="7472EC3E" w14:textId="77777777" w:rsidR="00BE18E3" w:rsidRPr="00BE18E3" w:rsidRDefault="00BE18E3" w:rsidP="00BE18E3">
      <w:pPr>
        <w:pStyle w:val="Literaturverzeichnis1"/>
        <w:ind w:left="397" w:hanging="397"/>
        <w:rPr>
          <w:lang w:val="en-US"/>
        </w:rPr>
      </w:pPr>
      <w:r w:rsidRPr="00BE18E3">
        <w:rPr>
          <w:lang w:val="de-DE"/>
        </w:rPr>
        <w:t xml:space="preserve">Harras, G. / Winkler, E. / Erb, S. / Proost, K. (2004): </w:t>
      </w:r>
      <w:r w:rsidRPr="00BE18E3">
        <w:rPr>
          <w:i/>
          <w:lang w:val="de-DE"/>
        </w:rPr>
        <w:t xml:space="preserve">Handbuch deutscher Kommunikationsverben. </w:t>
      </w:r>
      <w:r w:rsidRPr="00BE18E3">
        <w:rPr>
          <w:i/>
          <w:lang w:val="en-US"/>
        </w:rPr>
        <w:t>Teil I: Wörterbuch</w:t>
      </w:r>
      <w:r w:rsidRPr="00BE18E3">
        <w:rPr>
          <w:lang w:val="en-US"/>
        </w:rPr>
        <w:t>. Berlin/New York: De Gruyter.</w:t>
      </w:r>
    </w:p>
    <w:p w14:paraId="77DDF963" w14:textId="77777777" w:rsidR="00BE18E3" w:rsidRPr="00BE18E3" w:rsidRDefault="00BE18E3" w:rsidP="00BE18E3">
      <w:pPr>
        <w:pStyle w:val="Literaturverzeichnis1"/>
        <w:ind w:left="397" w:hanging="397"/>
        <w:rPr>
          <w:lang w:val="de-DE"/>
        </w:rPr>
      </w:pPr>
      <w:r w:rsidRPr="00BE18E3">
        <w:rPr>
          <w:lang w:val="en-US"/>
        </w:rPr>
        <w:t xml:space="preserve">Herbst, Th. (2014): The valency approach to argument structure constructions. In: Herbst, Th. / Schmid, H.-J. / Faulhaber, S. (eds.): </w:t>
      </w:r>
      <w:r w:rsidRPr="00BE18E3">
        <w:rPr>
          <w:i/>
          <w:lang w:val="en-US"/>
        </w:rPr>
        <w:t>Constructions – Collocations – Patterns</w:t>
      </w:r>
      <w:r w:rsidRPr="00BE18E3">
        <w:rPr>
          <w:lang w:val="en-US"/>
        </w:rPr>
        <w:t xml:space="preserve">. </w:t>
      </w:r>
      <w:r w:rsidRPr="00BE18E3">
        <w:rPr>
          <w:lang w:val="de-DE"/>
        </w:rPr>
        <w:t>Berlin/Boston: de Gruyter.</w:t>
      </w:r>
    </w:p>
    <w:p w14:paraId="19B53657" w14:textId="77777777" w:rsidR="00BE18E3" w:rsidRPr="00BE18E3" w:rsidRDefault="00BE18E3" w:rsidP="00BE18E3">
      <w:pPr>
        <w:pStyle w:val="Literaturverzeichnis1"/>
        <w:ind w:left="397" w:hanging="397"/>
      </w:pPr>
      <w:r w:rsidRPr="00BE18E3">
        <w:rPr>
          <w:lang w:val="de-DE"/>
        </w:rPr>
        <w:t xml:space="preserve">Hernández Eduardo, J. (1993): </w:t>
      </w:r>
      <w:r w:rsidRPr="00BE18E3">
        <w:rPr>
          <w:i/>
          <w:lang w:val="de-DE"/>
        </w:rPr>
        <w:t>Verba dicendi. Kontrastive Untersuchungen Deutsch- Spanisch</w:t>
      </w:r>
      <w:r w:rsidRPr="00BE18E3">
        <w:rPr>
          <w:lang w:val="de-DE"/>
        </w:rPr>
        <w:t xml:space="preserve">. </w:t>
      </w:r>
      <w:r w:rsidRPr="00BE18E3">
        <w:t>Frankfurt: P. Lang.</w:t>
      </w:r>
    </w:p>
    <w:p w14:paraId="57F26652" w14:textId="096AB1FD" w:rsidR="00BE18E3" w:rsidRPr="00BE18E3" w:rsidRDefault="00BE18E3" w:rsidP="00BE18E3">
      <w:pPr>
        <w:pStyle w:val="Literaturverzeichnis1"/>
        <w:ind w:left="397" w:hanging="397"/>
        <w:rPr>
          <w:lang w:val="en-US"/>
        </w:rPr>
      </w:pPr>
      <w:r w:rsidRPr="00BE18E3">
        <w:t>Kupietz, M. / Diewald, N. / Trawiński, B. / Cosma, R. / Cristea, D. / Tufiş, D. / Váradi,</w:t>
      </w:r>
      <w:r w:rsidRPr="00BE18E3">
        <w:rPr>
          <w:lang w:val="en-US"/>
        </w:rPr>
        <w:t xml:space="preserve"> T. / Wöllstein, A. (2020): Recent developments in the European Reference Corpus EuReCo. In: Granger, S. / Lefer, M.-A. (eds.): </w:t>
      </w:r>
      <w:r w:rsidRPr="00BE18E3">
        <w:rPr>
          <w:i/>
          <w:lang w:val="en-US"/>
        </w:rPr>
        <w:t>Translating and Comparing Languages: Corpus-based Insights</w:t>
      </w:r>
      <w:r w:rsidRPr="00BE18E3">
        <w:rPr>
          <w:lang w:val="en-US"/>
        </w:rPr>
        <w:t>. Louvain-la-Neuve: Presses universitaires de Louvain</w:t>
      </w:r>
      <w:r w:rsidR="00FB2E06">
        <w:rPr>
          <w:lang w:val="en-US"/>
        </w:rPr>
        <w:t>,</w:t>
      </w:r>
      <w:r w:rsidRPr="00BE18E3">
        <w:rPr>
          <w:lang w:val="en-US"/>
        </w:rPr>
        <w:t xml:space="preserve"> 257-273.</w:t>
      </w:r>
    </w:p>
    <w:p w14:paraId="094C32E8" w14:textId="77777777" w:rsidR="00BE18E3" w:rsidRPr="00BE18E3" w:rsidRDefault="00BE18E3" w:rsidP="00BE18E3">
      <w:pPr>
        <w:pStyle w:val="Literaturverzeichnis1"/>
        <w:ind w:left="397" w:hanging="397"/>
        <w:rPr>
          <w:lang w:val="de-DE"/>
        </w:rPr>
      </w:pPr>
      <w:r w:rsidRPr="00BE18E3">
        <w:rPr>
          <w:lang w:val="en-US"/>
        </w:rPr>
        <w:lastRenderedPageBreak/>
        <w:t xml:space="preserve">Meliss, M. (coord.) / Mas Álvarez, I. / Sánchez Hernández, P. / González Ribao, V. (i.p.): Argumentstrukturmuster im Sprachvergleich. </w:t>
      </w:r>
      <w:r w:rsidRPr="00BE18E3">
        <w:rPr>
          <w:lang w:val="de-DE"/>
        </w:rPr>
        <w:t>Korpusbasierte Studien zu Verben ausgewählter Paradigmen. Berlin: de Gruyter [=Konvergenz und Divergenz].</w:t>
      </w:r>
    </w:p>
    <w:p w14:paraId="4B499CF6" w14:textId="77777777" w:rsidR="00BE18E3" w:rsidRPr="00BE18E3" w:rsidRDefault="00BE18E3" w:rsidP="00BE18E3">
      <w:pPr>
        <w:pStyle w:val="Literaturverzeichnis1"/>
        <w:ind w:left="397" w:hanging="397"/>
        <w:rPr>
          <w:lang w:val="de-DE"/>
        </w:rPr>
      </w:pPr>
      <w:r w:rsidRPr="00BE18E3">
        <w:rPr>
          <w:lang w:val="de-DE"/>
        </w:rPr>
        <w:t xml:space="preserve">Meliss, M. / González Ribao, V. (2022): Vergleichbare Korpora für multilinguale kontrastive Studien: Herausforderungen und Desiderata. </w:t>
      </w:r>
      <w:r w:rsidRPr="00BE18E3">
        <w:t xml:space="preserve">In:  Klosa-Kückelhaus, A. </w:t>
      </w:r>
      <w:r w:rsidRPr="00BE18E3">
        <w:rPr>
          <w:i/>
          <w:iCs/>
        </w:rPr>
        <w:t>et al.</w:t>
      </w:r>
      <w:r w:rsidRPr="00BE18E3">
        <w:t xml:space="preserve"> (eds.): </w:t>
      </w:r>
      <w:hyperlink r:id="rId8" w:tgtFrame="_blank" w:history="1">
        <w:r w:rsidRPr="00BE18E3">
          <w:rPr>
            <w:rStyle w:val="Hyperlink"/>
            <w:i/>
            <w:iCs/>
          </w:rPr>
          <w:t>Dictionaries and Society. Proceedings of the XX Euralex International Congress.</w:t>
        </w:r>
      </w:hyperlink>
      <w:r w:rsidRPr="00BE18E3">
        <w:t> </w:t>
      </w:r>
      <w:r w:rsidRPr="00815B25">
        <w:rPr>
          <w:lang w:val="de-DE"/>
        </w:rPr>
        <w:t xml:space="preserve">(12-16 July 2022, Mannheim, Germany). </w:t>
      </w:r>
      <w:r w:rsidRPr="00BE18E3">
        <w:rPr>
          <w:lang w:val="de-DE"/>
        </w:rPr>
        <w:t>Mannheim, 253-261.</w:t>
      </w:r>
    </w:p>
    <w:p w14:paraId="6217696C" w14:textId="77777777" w:rsidR="00BE18E3" w:rsidRPr="00BE18E3" w:rsidRDefault="00BE18E3" w:rsidP="00BE18E3">
      <w:pPr>
        <w:pStyle w:val="Literaturverzeichnis1"/>
        <w:ind w:left="397" w:hanging="397"/>
        <w:rPr>
          <w:lang w:val="de-DE"/>
        </w:rPr>
      </w:pPr>
      <w:r w:rsidRPr="00BE18E3">
        <w:rPr>
          <w:lang w:val="de-DE"/>
        </w:rPr>
        <w:t xml:space="preserve">Primus, B. (2012): </w:t>
      </w:r>
      <w:r w:rsidRPr="00BE18E3">
        <w:rPr>
          <w:i/>
          <w:lang w:val="de-DE"/>
        </w:rPr>
        <w:t>Semantische Rollen</w:t>
      </w:r>
      <w:r w:rsidRPr="00BE18E3">
        <w:rPr>
          <w:lang w:val="de-DE"/>
        </w:rPr>
        <w:t>. Heidelberg: Universitätsverlag Winter.</w:t>
      </w:r>
    </w:p>
    <w:p w14:paraId="37344F31" w14:textId="390500B7" w:rsidR="00BE18E3" w:rsidRPr="00BE18E3" w:rsidRDefault="00BE18E3" w:rsidP="00BE18E3">
      <w:pPr>
        <w:pStyle w:val="Literaturverzeichnis1"/>
        <w:ind w:left="397" w:hanging="397"/>
        <w:rPr>
          <w:lang w:val="es-ES"/>
        </w:rPr>
      </w:pPr>
      <w:r w:rsidRPr="00BE18E3">
        <w:rPr>
          <w:lang w:val="de-DE"/>
        </w:rPr>
        <w:t xml:space="preserve">Proost, K. / Winkler, E. (2015): Familienähnlichkeiten deutscher Argumentstrukturmuster: Definitionen und grundlegende Annahmen. In: Proost, K. / Winkler, E.: </w:t>
      </w:r>
      <w:r w:rsidRPr="00BE18E3">
        <w:rPr>
          <w:i/>
          <w:lang w:val="de-DE"/>
        </w:rPr>
        <w:t>Familienähnlichkeiten deutscher Argumentstrukturmuster</w:t>
      </w:r>
      <w:r w:rsidRPr="00BE18E3">
        <w:rPr>
          <w:lang w:val="de-DE"/>
        </w:rPr>
        <w:t>. (= OPAL 1/2015). Mannheim: Institut für Deutsche Sprache</w:t>
      </w:r>
      <w:r w:rsidR="00FB2E06">
        <w:rPr>
          <w:lang w:val="de-DE"/>
        </w:rPr>
        <w:t>,</w:t>
      </w:r>
      <w:r w:rsidRPr="00BE18E3">
        <w:rPr>
          <w:lang w:val="de-DE"/>
        </w:rPr>
        <w:t xml:space="preserve"> </w:t>
      </w:r>
      <w:r w:rsidRPr="00BE18E3">
        <w:rPr>
          <w:lang w:val="es-ES"/>
        </w:rPr>
        <w:t>3–12.</w:t>
      </w:r>
    </w:p>
    <w:p w14:paraId="6CCEE769" w14:textId="669BC586" w:rsidR="00BE18E3" w:rsidRPr="00BE18E3" w:rsidRDefault="00BE18E3" w:rsidP="00BE18E3">
      <w:pPr>
        <w:pStyle w:val="Literaturverzeichnis1"/>
        <w:ind w:left="397" w:hanging="397"/>
        <w:rPr>
          <w:lang w:val="de-DE"/>
        </w:rPr>
      </w:pPr>
      <w:r w:rsidRPr="00BE18E3">
        <w:rPr>
          <w:lang w:val="es-ES"/>
        </w:rPr>
        <w:t xml:space="preserve">Wotjak, G. (2011): Las lenguas ¿comparables o incomparables? À la recherche du tertium comparationis (perdu). </w:t>
      </w:r>
      <w:r w:rsidRPr="00BE18E3">
        <w:rPr>
          <w:lang w:val="en-US"/>
        </w:rPr>
        <w:t xml:space="preserve">In: Lavric, E. / Pöckl, W. / Schallhart, F. (eds.): </w:t>
      </w:r>
      <w:r w:rsidRPr="00BE18E3">
        <w:rPr>
          <w:i/>
          <w:lang w:val="en-US"/>
        </w:rPr>
        <w:t xml:space="preserve">Comparatio Delectat. </w:t>
      </w:r>
      <w:r w:rsidRPr="00BE18E3">
        <w:rPr>
          <w:i/>
          <w:lang w:val="de-DE"/>
        </w:rPr>
        <w:t>Akten der VI internationalen Arbeitstagung zum romanisch-deutschen und innerromanischen Sprachvergleich</w:t>
      </w:r>
      <w:r w:rsidRPr="00BE18E3">
        <w:rPr>
          <w:lang w:val="de-DE"/>
        </w:rPr>
        <w:t>. Innsbruck, 3.-5. September 2008. Teil 1. Frankfurt a.M./Berlin/Bern/Bruxelles/New York/Oxford/Wien.: P. Lang</w:t>
      </w:r>
      <w:r w:rsidR="00FB2E06">
        <w:rPr>
          <w:lang w:val="de-DE"/>
        </w:rPr>
        <w:t>,</w:t>
      </w:r>
      <w:r w:rsidRPr="00BE18E3">
        <w:rPr>
          <w:lang w:val="de-DE"/>
        </w:rPr>
        <w:t xml:space="preserve"> 19–60.</w:t>
      </w:r>
    </w:p>
    <w:p w14:paraId="04EC1208" w14:textId="77777777" w:rsidR="00AB181E" w:rsidRDefault="00224AA6">
      <w:pPr>
        <w:pStyle w:val="berschrift1"/>
      </w:pPr>
      <w:r>
        <w:t>Contact information</w:t>
      </w:r>
    </w:p>
    <w:p w14:paraId="1210325F" w14:textId="6574BD11" w:rsidR="00AB181E" w:rsidRPr="00BE18E3" w:rsidRDefault="00BE18E3">
      <w:pPr>
        <w:rPr>
          <w:lang w:val="es-ES"/>
        </w:rPr>
      </w:pPr>
      <w:r w:rsidRPr="00BE18E3">
        <w:rPr>
          <w:rStyle w:val="Fett"/>
          <w:lang w:val="es-ES"/>
        </w:rPr>
        <w:t>Mario Franco Barros</w:t>
      </w:r>
    </w:p>
    <w:p w14:paraId="12691E56" w14:textId="278453E9" w:rsidR="00AB181E" w:rsidRPr="00640190" w:rsidRDefault="00BE18E3">
      <w:pPr>
        <w:rPr>
          <w:lang w:val="es-ES"/>
        </w:rPr>
      </w:pPr>
      <w:r w:rsidRPr="00BE18E3">
        <w:rPr>
          <w:lang w:val="es-ES"/>
        </w:rPr>
        <w:t>Universidade d</w:t>
      </w:r>
      <w:r w:rsidR="00640190">
        <w:rPr>
          <w:lang w:val="es-ES"/>
        </w:rPr>
        <w:t>a</w:t>
      </w:r>
      <w:r w:rsidRPr="00BE18E3">
        <w:rPr>
          <w:lang w:val="es-ES"/>
        </w:rPr>
        <w:t xml:space="preserve"> Madeira</w:t>
      </w:r>
      <w:r w:rsidR="00640190" w:rsidRPr="00640190">
        <w:rPr>
          <w:lang w:val="es-ES"/>
        </w:rPr>
        <w:t>, Portugal</w:t>
      </w:r>
    </w:p>
    <w:p w14:paraId="5559914D" w14:textId="5F794B21" w:rsidR="00AB181E" w:rsidRPr="00BE18E3" w:rsidRDefault="00000000">
      <w:pPr>
        <w:pStyle w:val="Literaturverzeichnis1"/>
        <w:ind w:left="0" w:firstLine="0"/>
        <w:rPr>
          <w:lang w:val="es-ES"/>
        </w:rPr>
      </w:pPr>
      <w:hyperlink r:id="rId9" w:history="1">
        <w:r w:rsidR="00BE18E3" w:rsidRPr="00BE18E3">
          <w:rPr>
            <w:rStyle w:val="Hyperlink"/>
            <w:lang w:val="es-ES"/>
          </w:rPr>
          <w:t>mariofb@staff.uma.pt</w:t>
        </w:r>
      </w:hyperlink>
    </w:p>
    <w:p w14:paraId="22D52654" w14:textId="75346D7F" w:rsidR="00BE18E3" w:rsidRPr="00BE18E3" w:rsidRDefault="00BE18E3" w:rsidP="00BE18E3">
      <w:pPr>
        <w:rPr>
          <w:lang w:val="es-ES"/>
        </w:rPr>
      </w:pPr>
      <w:r w:rsidRPr="00BE18E3">
        <w:rPr>
          <w:rStyle w:val="Fett"/>
          <w:lang w:val="es-ES"/>
        </w:rPr>
        <w:t>M</w:t>
      </w:r>
      <w:r>
        <w:rPr>
          <w:rStyle w:val="Fett"/>
          <w:lang w:val="es-ES"/>
        </w:rPr>
        <w:t>eike Meliss</w:t>
      </w:r>
    </w:p>
    <w:p w14:paraId="662C2DB8" w14:textId="4781418E" w:rsidR="00BE18E3" w:rsidRPr="00BE18E3" w:rsidRDefault="00BE18E3" w:rsidP="00BE18E3">
      <w:pPr>
        <w:rPr>
          <w:lang w:val="es-ES"/>
        </w:rPr>
      </w:pPr>
      <w:r w:rsidRPr="00BE18E3">
        <w:rPr>
          <w:lang w:val="es-ES"/>
        </w:rPr>
        <w:t xml:space="preserve">Universidad de </w:t>
      </w:r>
      <w:r>
        <w:rPr>
          <w:lang w:val="es-ES"/>
        </w:rPr>
        <w:t>Santiago de Compostela</w:t>
      </w:r>
      <w:r w:rsidR="00640190">
        <w:rPr>
          <w:lang w:val="es-ES"/>
        </w:rPr>
        <w:t xml:space="preserve">, </w:t>
      </w:r>
      <w:r>
        <w:rPr>
          <w:lang w:val="es-ES"/>
        </w:rPr>
        <w:t>Spain</w:t>
      </w:r>
    </w:p>
    <w:p w14:paraId="68CD1539" w14:textId="475AC67B" w:rsidR="00BE18E3" w:rsidRDefault="00000000">
      <w:pPr>
        <w:pStyle w:val="Literaturverzeichnis1"/>
        <w:ind w:left="0" w:firstLine="0"/>
      </w:pPr>
      <w:hyperlink r:id="rId10" w:history="1">
        <w:r w:rsidR="00BE18E3" w:rsidRPr="003F5331">
          <w:rPr>
            <w:rStyle w:val="Hyperlink"/>
          </w:rPr>
          <w:t>meike.meliss@usc.es</w:t>
        </w:r>
      </w:hyperlink>
    </w:p>
    <w:p w14:paraId="0CC12B46" w14:textId="77777777" w:rsidR="00BE18E3" w:rsidRPr="00BE18E3" w:rsidRDefault="00BE18E3">
      <w:pPr>
        <w:pStyle w:val="Literaturverzeichnis1"/>
        <w:ind w:left="0" w:firstLine="0"/>
        <w:rPr>
          <w:lang w:val="es-ES"/>
        </w:rPr>
      </w:pPr>
    </w:p>
    <w:sectPr w:rsidR="00BE18E3" w:rsidRPr="00BE18E3">
      <w:headerReference w:type="default" r:id="rId11"/>
      <w:footerReference w:type="defaul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AD86E" w14:textId="77777777" w:rsidR="001B4F6D" w:rsidRDefault="001B4F6D">
      <w:pPr>
        <w:spacing w:before="0" w:line="240" w:lineRule="auto"/>
      </w:pPr>
      <w:r>
        <w:separator/>
      </w:r>
    </w:p>
  </w:endnote>
  <w:endnote w:type="continuationSeparator" w:id="0">
    <w:p w14:paraId="383D2EA8" w14:textId="77777777" w:rsidR="001B4F6D" w:rsidRDefault="001B4F6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FEFDAAE-B627-4E46-A582-C989C30EA415}"/>
    <w:embedBold r:id="rId2" w:fontKey="{9D4F2D96-BB17-4A02-9F85-9C6CE7C82516}"/>
    <w:embedItalic r:id="rId3" w:fontKey="{0B8032A7-FF80-4621-8315-E957C724B923}"/>
    <w:embedBoldItalic r:id="rId4" w:fontKey="{7CCA8383-C81C-4569-A583-24849BD6FAEB}"/>
  </w:font>
  <w:font w:name="Tahoma">
    <w:panose1 w:val="020B0604030504040204"/>
    <w:charset w:val="00"/>
    <w:family w:val="swiss"/>
    <w:pitch w:val="variable"/>
    <w:sig w:usb0="E1002EFF" w:usb1="C000605B" w:usb2="00000029" w:usb3="00000000" w:csb0="000101FF" w:csb1="00000000"/>
    <w:embedRegular r:id="rId5" w:fontKey="{80D6947F-81BA-4AD6-A864-66995E5F49C5}"/>
    <w:embedBold r:id="rId6" w:fontKey="{4A562569-E8A2-4B6A-AB84-E6C93776E0FB}"/>
    <w:embedItalic r:id="rId7" w:fontKey="{574857D8-4ECB-4A4C-8E50-5B442DEAC3B6}"/>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8" w:fontKey="{8712BF71-BA70-4172-815A-A4D2AEE29019}"/>
    <w:embedBold r:id="rId9" w:fontKey="{62B0EB2C-4F3A-4209-97D9-67EB697B5FE0}"/>
    <w:embedBoldItalic r:id="rId10" w:fontKey="{D84AAC4C-27DD-4469-996E-96F0198CAAE9}"/>
  </w:font>
  <w:font w:name="OpenSymbol">
    <w:altName w:val="Arial Unicode MS"/>
    <w:charset w:val="00"/>
    <w:family w:val="auto"/>
    <w:pitch w:val="variable"/>
    <w:sig w:usb0="800000AF" w:usb1="1001ECEA" w:usb2="00000000" w:usb3="00000000" w:csb0="80000001" w:csb1="00000000"/>
    <w:embedRegular r:id="rId11" w:fontKey="{A3606212-A20C-43B7-A033-27BA048CB258}"/>
  </w:font>
  <w:font w:name="Liberation Sans">
    <w:altName w:val="Arial"/>
    <w:charset w:val="00"/>
    <w:family w:val="swiss"/>
    <w:pitch w:val="variable"/>
    <w:sig w:usb0="E0000AFF" w:usb1="500078FF" w:usb2="00000021" w:usb3="00000000" w:csb0="000001BF" w:csb1="00000000"/>
    <w:embedBold r:id="rId12" w:fontKey="{96E73A88-C4E8-4044-8588-53FFAC747BB7}"/>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3" w:fontKey="{D9738EFA-BCA4-407B-B5B8-205AA6F53B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AB32"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70A05D3A" w14:textId="77777777" w:rsidR="00AB181E" w:rsidRDefault="00AB181E">
    <w:pPr>
      <w:pStyle w:val="Fuzeile"/>
    </w:pPr>
  </w:p>
  <w:p w14:paraId="53255F86"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62704" w14:textId="77777777" w:rsidR="001B4F6D" w:rsidRDefault="001B4F6D">
      <w:pPr>
        <w:rPr>
          <w:sz w:val="12"/>
        </w:rPr>
      </w:pPr>
      <w:r>
        <w:separator/>
      </w:r>
    </w:p>
  </w:footnote>
  <w:footnote w:type="continuationSeparator" w:id="0">
    <w:p w14:paraId="58371699" w14:textId="77777777" w:rsidR="001B4F6D" w:rsidRDefault="001B4F6D">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8F1E" w14:textId="77777777" w:rsidR="00AB181E" w:rsidRDefault="00224AA6">
    <w:pPr>
      <w:pStyle w:val="Kopfzeile"/>
    </w:pPr>
    <w:r>
      <w:t>ICLC-10 2023 - Document Template for Revised Abstract</w:t>
    </w:r>
    <w:r>
      <w:rPr>
        <w:lang w:val="en-US"/>
      </w:rPr>
      <w:t>s</w:t>
    </w:r>
  </w:p>
  <w:p w14:paraId="66D7618A"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4D3A7CF4"/>
    <w:multiLevelType w:val="hybridMultilevel"/>
    <w:tmpl w:val="EC1809E2"/>
    <w:lvl w:ilvl="0" w:tplc="97DE84FA">
      <w:start w:val="1"/>
      <w:numFmt w:val="lowerRoman"/>
      <w:lvlText w:val="%1."/>
      <w:lvlJc w:val="left"/>
      <w:pPr>
        <w:ind w:left="831" w:hanging="483"/>
        <w:jc w:val="right"/>
      </w:pPr>
      <w:rPr>
        <w:rFonts w:ascii="Times New Roman" w:eastAsia="Times New Roman" w:hAnsi="Times New Roman" w:cs="Times New Roman" w:hint="default"/>
        <w:spacing w:val="-2"/>
        <w:w w:val="103"/>
        <w:sz w:val="23"/>
        <w:szCs w:val="23"/>
        <w:lang w:val="en-US" w:eastAsia="en-US" w:bidi="ar-SA"/>
      </w:rPr>
    </w:lvl>
    <w:lvl w:ilvl="1" w:tplc="E182EC62">
      <w:numFmt w:val="bullet"/>
      <w:lvlText w:val="•"/>
      <w:lvlJc w:val="left"/>
      <w:pPr>
        <w:ind w:left="840" w:hanging="483"/>
      </w:pPr>
      <w:rPr>
        <w:rFonts w:hint="default"/>
        <w:lang w:val="en-US" w:eastAsia="en-US" w:bidi="ar-SA"/>
      </w:rPr>
    </w:lvl>
    <w:lvl w:ilvl="2" w:tplc="FF96C22C">
      <w:numFmt w:val="bullet"/>
      <w:lvlText w:val="•"/>
      <w:lvlJc w:val="left"/>
      <w:pPr>
        <w:ind w:left="1718" w:hanging="483"/>
      </w:pPr>
      <w:rPr>
        <w:rFonts w:hint="default"/>
        <w:lang w:val="en-US" w:eastAsia="en-US" w:bidi="ar-SA"/>
      </w:rPr>
    </w:lvl>
    <w:lvl w:ilvl="3" w:tplc="8884AD18">
      <w:numFmt w:val="bullet"/>
      <w:lvlText w:val="•"/>
      <w:lvlJc w:val="left"/>
      <w:pPr>
        <w:ind w:left="2597" w:hanging="483"/>
      </w:pPr>
      <w:rPr>
        <w:rFonts w:hint="default"/>
        <w:lang w:val="en-US" w:eastAsia="en-US" w:bidi="ar-SA"/>
      </w:rPr>
    </w:lvl>
    <w:lvl w:ilvl="4" w:tplc="DFEC09F0">
      <w:numFmt w:val="bullet"/>
      <w:lvlText w:val="•"/>
      <w:lvlJc w:val="left"/>
      <w:pPr>
        <w:ind w:left="3476" w:hanging="483"/>
      </w:pPr>
      <w:rPr>
        <w:rFonts w:hint="default"/>
        <w:lang w:val="en-US" w:eastAsia="en-US" w:bidi="ar-SA"/>
      </w:rPr>
    </w:lvl>
    <w:lvl w:ilvl="5" w:tplc="9110A578">
      <w:numFmt w:val="bullet"/>
      <w:lvlText w:val="•"/>
      <w:lvlJc w:val="left"/>
      <w:pPr>
        <w:ind w:left="4355" w:hanging="483"/>
      </w:pPr>
      <w:rPr>
        <w:rFonts w:hint="default"/>
        <w:lang w:val="en-US" w:eastAsia="en-US" w:bidi="ar-SA"/>
      </w:rPr>
    </w:lvl>
    <w:lvl w:ilvl="6" w:tplc="8920F23A">
      <w:numFmt w:val="bullet"/>
      <w:lvlText w:val="•"/>
      <w:lvlJc w:val="left"/>
      <w:pPr>
        <w:ind w:left="5233" w:hanging="483"/>
      </w:pPr>
      <w:rPr>
        <w:rFonts w:hint="default"/>
        <w:lang w:val="en-US" w:eastAsia="en-US" w:bidi="ar-SA"/>
      </w:rPr>
    </w:lvl>
    <w:lvl w:ilvl="7" w:tplc="397A70C2">
      <w:numFmt w:val="bullet"/>
      <w:lvlText w:val="•"/>
      <w:lvlJc w:val="left"/>
      <w:pPr>
        <w:ind w:left="6112" w:hanging="483"/>
      </w:pPr>
      <w:rPr>
        <w:rFonts w:hint="default"/>
        <w:lang w:val="en-US" w:eastAsia="en-US" w:bidi="ar-SA"/>
      </w:rPr>
    </w:lvl>
    <w:lvl w:ilvl="8" w:tplc="1CA0838E">
      <w:numFmt w:val="bullet"/>
      <w:lvlText w:val="•"/>
      <w:lvlJc w:val="left"/>
      <w:pPr>
        <w:ind w:left="6991" w:hanging="483"/>
      </w:pPr>
      <w:rPr>
        <w:rFonts w:hint="default"/>
        <w:lang w:val="en-US" w:eastAsia="en-US" w:bidi="ar-SA"/>
      </w:rPr>
    </w:lvl>
  </w:abstractNum>
  <w:num w:numId="1" w16cid:durableId="18512309">
    <w:abstractNumId w:val="0"/>
  </w:num>
  <w:num w:numId="2" w16cid:durableId="1821919516">
    <w:abstractNumId w:val="1"/>
  </w:num>
  <w:num w:numId="3" w16cid:durableId="695812887">
    <w:abstractNumId w:val="2"/>
  </w:num>
  <w:num w:numId="4" w16cid:durableId="13959344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2763E"/>
    <w:rsid w:val="000D45CA"/>
    <w:rsid w:val="000F11EC"/>
    <w:rsid w:val="00143EA8"/>
    <w:rsid w:val="001B4F6D"/>
    <w:rsid w:val="00224AA6"/>
    <w:rsid w:val="00227F60"/>
    <w:rsid w:val="002862E1"/>
    <w:rsid w:val="00324EEE"/>
    <w:rsid w:val="004C5262"/>
    <w:rsid w:val="00640190"/>
    <w:rsid w:val="00694682"/>
    <w:rsid w:val="00717483"/>
    <w:rsid w:val="00743934"/>
    <w:rsid w:val="00815B25"/>
    <w:rsid w:val="009875A4"/>
    <w:rsid w:val="009D4AD9"/>
    <w:rsid w:val="00A33FF8"/>
    <w:rsid w:val="00A54BA3"/>
    <w:rsid w:val="00AB181E"/>
    <w:rsid w:val="00B22F8E"/>
    <w:rsid w:val="00BC28C5"/>
    <w:rsid w:val="00BE18E3"/>
    <w:rsid w:val="00C425D1"/>
    <w:rsid w:val="00DB1137"/>
    <w:rsid w:val="00F47A0D"/>
    <w:rsid w:val="00FB2E06"/>
    <w:rsid w:val="00FB3050"/>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F67C0"/>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uiPriority w:val="1"/>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BE18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uralex2022.ids-mannheim.de/wp-content/uploads/2022/07/Proceedings_11.07.2022.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mbidigilex.wixsite.com/deutsch"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eike.meliss@usc.es" TargetMode="External"/><Relationship Id="rId4" Type="http://schemas.openxmlformats.org/officeDocument/2006/relationships/webSettings" Target="webSettings.xml"/><Relationship Id="rId9" Type="http://schemas.openxmlformats.org/officeDocument/2006/relationships/hyperlink" Target="mailto:mariofb@staff.uma.p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1086</Words>
  <Characters>6843</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Usuario</cp:lastModifiedBy>
  <cp:revision>9</cp:revision>
  <cp:lastPrinted>2023-03-11T11:57:00Z</cp:lastPrinted>
  <dcterms:created xsi:type="dcterms:W3CDTF">2023-04-25T22:21:00Z</dcterms:created>
  <dcterms:modified xsi:type="dcterms:W3CDTF">2023-05-04T10:03:00Z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