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CDCA4" w14:textId="48DC07EC" w:rsidR="00AB181E" w:rsidRDefault="003548B1">
      <w:pPr>
        <w:pStyle w:val="Author"/>
      </w:pPr>
      <w:r>
        <w:t xml:space="preserve">Olga </w:t>
      </w:r>
      <w:proofErr w:type="spellStart"/>
      <w:r>
        <w:t>Nádvorníková</w:t>
      </w:r>
      <w:proofErr w:type="spellEnd"/>
    </w:p>
    <w:p w14:paraId="4B19791D" w14:textId="7A323772" w:rsidR="00AB181E" w:rsidRDefault="003548B1">
      <w:pPr>
        <w:pStyle w:val="Nzev"/>
      </w:pPr>
      <w:r>
        <w:t xml:space="preserve">French, Polish and Czech </w:t>
      </w:r>
      <w:proofErr w:type="spellStart"/>
      <w:r>
        <w:t>converbs</w:t>
      </w:r>
      <w:proofErr w:type="spellEnd"/>
    </w:p>
    <w:p w14:paraId="2B4818D7" w14:textId="33C1C95B" w:rsidR="00AB181E" w:rsidRDefault="003548B1">
      <w:pPr>
        <w:pStyle w:val="Podnadpis"/>
      </w:pPr>
      <w:r>
        <w:t>A contrastive corpus-based study</w:t>
      </w:r>
    </w:p>
    <w:p w14:paraId="64835971" w14:textId="074E6584" w:rsidR="003548B1" w:rsidRDefault="00224AA6">
      <w:pPr>
        <w:pStyle w:val="Keywords"/>
        <w:jc w:val="left"/>
        <w:rPr>
          <w:szCs w:val="20"/>
        </w:rPr>
      </w:pPr>
      <w:r>
        <w:rPr>
          <w:b/>
          <w:szCs w:val="20"/>
        </w:rPr>
        <w:t>Keywords:</w:t>
      </w:r>
      <w:r>
        <w:rPr>
          <w:szCs w:val="20"/>
        </w:rPr>
        <w:t xml:space="preserve"> </w:t>
      </w:r>
      <w:proofErr w:type="spellStart"/>
      <w:r w:rsidR="003548B1">
        <w:rPr>
          <w:szCs w:val="20"/>
        </w:rPr>
        <w:t>converb</w:t>
      </w:r>
      <w:proofErr w:type="spellEnd"/>
      <w:r w:rsidR="003548B1">
        <w:rPr>
          <w:szCs w:val="20"/>
        </w:rPr>
        <w:t>; Czech; Polish; French; adverbial subordination</w:t>
      </w:r>
    </w:p>
    <w:p w14:paraId="384F3E89" w14:textId="51E42192" w:rsidR="00006ACF" w:rsidRPr="00006ACF" w:rsidRDefault="003548B1" w:rsidP="00006ACF">
      <w:pPr>
        <w:rPr>
          <w:rFonts w:cs="Libertinus Serif"/>
        </w:rPr>
      </w:pPr>
      <w:r>
        <w:t xml:space="preserve">The </w:t>
      </w:r>
      <w:r w:rsidRPr="003548B1">
        <w:rPr>
          <w:rFonts w:cs="Libertinus Serif"/>
        </w:rPr>
        <w:t>present study aims at investigating similarities and differences bet</w:t>
      </w:r>
      <w:r w:rsidR="00FD4A03">
        <w:rPr>
          <w:rFonts w:cs="Libertinus Serif"/>
        </w:rPr>
        <w:t>w</w:t>
      </w:r>
      <w:r w:rsidRPr="003548B1">
        <w:rPr>
          <w:rFonts w:cs="Libertinus Serif"/>
        </w:rPr>
        <w:t>een three non</w:t>
      </w:r>
      <w:r w:rsidR="00FD4A03">
        <w:rPr>
          <w:rFonts w:cs="Libertinus Serif"/>
        </w:rPr>
        <w:noBreakHyphen/>
      </w:r>
      <w:r w:rsidRPr="003548B1">
        <w:rPr>
          <w:rFonts w:cs="Libertinus Serif"/>
        </w:rPr>
        <w:t xml:space="preserve">finite verb forms </w:t>
      </w:r>
      <w:r w:rsidRPr="003548B1">
        <w:rPr>
          <w:rFonts w:cs="Libertinus Serif"/>
        </w:rPr>
        <w:t xml:space="preserve">specialized in </w:t>
      </w:r>
      <w:proofErr w:type="spellStart"/>
      <w:r w:rsidRPr="003548B1">
        <w:rPr>
          <w:rFonts w:cs="Libertinus Serif"/>
        </w:rPr>
        <w:t>converbal</w:t>
      </w:r>
      <w:proofErr w:type="spellEnd"/>
      <w:r w:rsidRPr="003548B1">
        <w:rPr>
          <w:rFonts w:cs="Libertinus Serif"/>
        </w:rPr>
        <w:t xml:space="preserve"> function, </w:t>
      </w:r>
      <w:proofErr w:type="gramStart"/>
      <w:r w:rsidRPr="003548B1">
        <w:rPr>
          <w:rFonts w:cs="Libertinus Serif"/>
        </w:rPr>
        <w:t>i.e.</w:t>
      </w:r>
      <w:proofErr w:type="gramEnd"/>
      <w:r w:rsidRPr="003548B1">
        <w:rPr>
          <w:rFonts w:cs="Libertinus Serif"/>
        </w:rPr>
        <w:t xml:space="preserve"> in adverbial subordination, as defined in </w:t>
      </w:r>
      <w:proofErr w:type="spellStart"/>
      <w:r w:rsidRPr="003548B1">
        <w:rPr>
          <w:rFonts w:cs="Libertinus Serif"/>
        </w:rPr>
        <w:t>Haspelmath</w:t>
      </w:r>
      <w:proofErr w:type="spellEnd"/>
      <w:r w:rsidR="00FD4A03">
        <w:rPr>
          <w:rFonts w:cs="Libertinus Serif"/>
        </w:rPr>
        <w:t>/König</w:t>
      </w:r>
      <w:r w:rsidRPr="003548B1">
        <w:rPr>
          <w:rFonts w:cs="Libertinus Serif"/>
        </w:rPr>
        <w:t xml:space="preserve"> (1995) and Ross (2021): the French </w:t>
      </w:r>
      <w:proofErr w:type="spellStart"/>
      <w:r w:rsidRPr="003548B1">
        <w:rPr>
          <w:rFonts w:cs="Libertinus Serif"/>
          <w:i/>
          <w:iCs/>
        </w:rPr>
        <w:t>gérondif</w:t>
      </w:r>
      <w:proofErr w:type="spellEnd"/>
      <w:r w:rsidRPr="003548B1">
        <w:rPr>
          <w:rFonts w:cs="Libertinus Serif"/>
        </w:rPr>
        <w:t xml:space="preserve">, the Polish </w:t>
      </w:r>
      <w:proofErr w:type="spellStart"/>
      <w:r w:rsidRPr="003548B1">
        <w:rPr>
          <w:rFonts w:cs="Libertinus Serif"/>
          <w:i/>
          <w:iCs/>
        </w:rPr>
        <w:t>imiesłów</w:t>
      </w:r>
      <w:proofErr w:type="spellEnd"/>
      <w:r w:rsidRPr="003548B1">
        <w:rPr>
          <w:rFonts w:cs="Libertinus Serif"/>
          <w:i/>
          <w:iCs/>
        </w:rPr>
        <w:t xml:space="preserve"> </w:t>
      </w:r>
      <w:proofErr w:type="spellStart"/>
      <w:r w:rsidRPr="003548B1">
        <w:rPr>
          <w:rFonts w:cs="Libertinus Serif"/>
          <w:i/>
          <w:iCs/>
        </w:rPr>
        <w:t>przysłówkowy</w:t>
      </w:r>
      <w:proofErr w:type="spellEnd"/>
      <w:r w:rsidRPr="003548B1">
        <w:rPr>
          <w:rFonts w:cs="Libertinus Serif"/>
          <w:i/>
          <w:iCs/>
        </w:rPr>
        <w:t xml:space="preserve"> </w:t>
      </w:r>
      <w:r w:rsidRPr="003548B1">
        <w:rPr>
          <w:rFonts w:cs="Libertinus Serif"/>
        </w:rPr>
        <w:t xml:space="preserve">and the Czech </w:t>
      </w:r>
      <w:r w:rsidRPr="003548B1">
        <w:rPr>
          <w:rFonts w:cs="Libertinus Serif"/>
          <w:i/>
          <w:iCs/>
        </w:rPr>
        <w:t>transgressive</w:t>
      </w:r>
      <w:r w:rsidRPr="003548B1">
        <w:rPr>
          <w:rFonts w:cs="Libertinus Serif"/>
        </w:rPr>
        <w:t>. Previous studies have shown that these three forms display important syntactic and semantic similarities (</w:t>
      </w:r>
      <w:proofErr w:type="spellStart"/>
      <w:r w:rsidRPr="003548B1">
        <w:rPr>
          <w:rFonts w:cs="Libertinus Serif"/>
        </w:rPr>
        <w:t>Čermák</w:t>
      </w:r>
      <w:proofErr w:type="spellEnd"/>
      <w:r w:rsidRPr="003548B1">
        <w:rPr>
          <w:rFonts w:cs="Libertinus Serif"/>
        </w:rPr>
        <w:t xml:space="preserve"> et al. 2020, </w:t>
      </w:r>
      <w:proofErr w:type="spellStart"/>
      <w:r w:rsidR="00584884">
        <w:rPr>
          <w:rFonts w:cs="Libertinus Serif"/>
        </w:rPr>
        <w:t>Haspelmath</w:t>
      </w:r>
      <w:proofErr w:type="spellEnd"/>
      <w:r w:rsidR="00584884">
        <w:rPr>
          <w:rFonts w:cs="Libertinus Serif"/>
        </w:rPr>
        <w:t>/König</w:t>
      </w:r>
      <w:r w:rsidRPr="003548B1">
        <w:rPr>
          <w:rFonts w:cs="Libertinus Serif"/>
        </w:rPr>
        <w:t xml:space="preserve"> 1995): they are canonical (strict) </w:t>
      </w:r>
      <w:proofErr w:type="spellStart"/>
      <w:r w:rsidRPr="003548B1">
        <w:rPr>
          <w:rFonts w:cs="Libertinus Serif"/>
        </w:rPr>
        <w:t>converbs</w:t>
      </w:r>
      <w:proofErr w:type="spellEnd"/>
      <w:r w:rsidRPr="003548B1">
        <w:rPr>
          <w:rFonts w:cs="Libertinus Serif"/>
        </w:rPr>
        <w:t xml:space="preserve">, </w:t>
      </w:r>
      <w:proofErr w:type="gramStart"/>
      <w:r w:rsidRPr="003548B1">
        <w:rPr>
          <w:rFonts w:cs="Libertinus Serif"/>
        </w:rPr>
        <w:t>i.e.</w:t>
      </w:r>
      <w:proofErr w:type="gramEnd"/>
      <w:r w:rsidRPr="003548B1">
        <w:rPr>
          <w:rFonts w:cs="Libertinus Serif"/>
        </w:rPr>
        <w:t xml:space="preserve"> forms limited to </w:t>
      </w:r>
      <w:proofErr w:type="spellStart"/>
      <w:r w:rsidRPr="003548B1">
        <w:rPr>
          <w:rFonts w:cs="Libertinus Serif"/>
        </w:rPr>
        <w:t>converbal</w:t>
      </w:r>
      <w:proofErr w:type="spellEnd"/>
      <w:r w:rsidRPr="003548B1">
        <w:rPr>
          <w:rFonts w:cs="Libertinus Serif"/>
        </w:rPr>
        <w:t xml:space="preserve"> (adverbial) function, they are same-subject, and their semantic interpretation is based on contextual factors</w:t>
      </w:r>
      <w:r w:rsidR="00FD4A03">
        <w:rPr>
          <w:rFonts w:cs="Libertinus Serif"/>
        </w:rPr>
        <w:t>. Moreover,</w:t>
      </w:r>
      <w:r w:rsidRPr="003548B1">
        <w:rPr>
          <w:rFonts w:cs="Libertinus Serif"/>
        </w:rPr>
        <w:t xml:space="preserve"> the three forms share almost identical proportions of different meanings, with the basic meaning of accompanying circumstance prevailing. Yet despite such similarities, the three forms differ significantly in frequency: 4,000 </w:t>
      </w:r>
      <w:proofErr w:type="spellStart"/>
      <w:r w:rsidRPr="003548B1">
        <w:rPr>
          <w:rFonts w:cs="Libertinus Serif"/>
        </w:rPr>
        <w:t>ipm</w:t>
      </w:r>
      <w:proofErr w:type="spellEnd"/>
      <w:r w:rsidRPr="003548B1">
        <w:rPr>
          <w:rFonts w:cs="Libertinus Serif"/>
        </w:rPr>
        <w:t xml:space="preserve"> in Polish, 1,700 </w:t>
      </w:r>
      <w:proofErr w:type="spellStart"/>
      <w:r w:rsidRPr="003548B1">
        <w:rPr>
          <w:rFonts w:cs="Libertinus Serif"/>
        </w:rPr>
        <w:t>ipm</w:t>
      </w:r>
      <w:proofErr w:type="spellEnd"/>
      <w:r w:rsidRPr="003548B1">
        <w:rPr>
          <w:rFonts w:cs="Libertinus Serif"/>
        </w:rPr>
        <w:t xml:space="preserve"> in French and only 200 </w:t>
      </w:r>
      <w:proofErr w:type="spellStart"/>
      <w:r w:rsidRPr="003548B1">
        <w:rPr>
          <w:rFonts w:cs="Libertinus Serif"/>
        </w:rPr>
        <w:t>ipm</w:t>
      </w:r>
      <w:proofErr w:type="spellEnd"/>
      <w:r w:rsidRPr="003548B1">
        <w:rPr>
          <w:rFonts w:cs="Libertinus Serif"/>
        </w:rPr>
        <w:t xml:space="preserve"> in Czech (in contemporary fiction, see </w:t>
      </w:r>
      <w:proofErr w:type="spellStart"/>
      <w:r w:rsidRPr="003548B1">
        <w:rPr>
          <w:rFonts w:cs="Libertinus Serif"/>
        </w:rPr>
        <w:t>Nádvorníková</w:t>
      </w:r>
      <w:proofErr w:type="spellEnd"/>
      <w:r w:rsidRPr="003548B1">
        <w:rPr>
          <w:rFonts w:cs="Libertinus Serif"/>
        </w:rPr>
        <w:t xml:space="preserve">, forthcoming). We argue </w:t>
      </w:r>
      <w:r w:rsidRPr="003548B1">
        <w:t>that</w:t>
      </w:r>
      <w:r w:rsidRPr="003548B1">
        <w:rPr>
          <w:rFonts w:cs="Libertinus Serif"/>
        </w:rPr>
        <w:t xml:space="preserve"> these differences are due to diachronic distinctions in the evolution of the three forms and we </w:t>
      </w:r>
      <w:r w:rsidRPr="00006ACF">
        <w:rPr>
          <w:rFonts w:cs="Libertinus Serif"/>
        </w:rPr>
        <w:t>investigate the impact of these differences on their (non)-equivalence in contemporary language.</w:t>
      </w:r>
      <w:r w:rsidR="00006ACF" w:rsidRPr="00006ACF">
        <w:rPr>
          <w:rFonts w:cs="Libertinus Serif"/>
        </w:rPr>
        <w:t xml:space="preserve"> </w:t>
      </w:r>
      <w:r w:rsidR="00006ACF" w:rsidRPr="00006ACF">
        <w:rPr>
          <w:rFonts w:cs="Libertinus Serif"/>
        </w:rPr>
        <w:t xml:space="preserve">We also argue that the combination of multilingual (parallel) corpora and the </w:t>
      </w:r>
      <w:proofErr w:type="spellStart"/>
      <w:r w:rsidR="00006ACF" w:rsidRPr="00006ACF">
        <w:rPr>
          <w:rFonts w:cs="Libertinus Serif"/>
        </w:rPr>
        <w:t>converb</w:t>
      </w:r>
      <w:proofErr w:type="spellEnd"/>
      <w:r w:rsidR="00006ACF" w:rsidRPr="00006ACF">
        <w:rPr>
          <w:rFonts w:cs="Libertinus Serif"/>
        </w:rPr>
        <w:t xml:space="preserve"> comparative concept enables thorough cross-linguistic research into the mechanisms of adverbial subordination.</w:t>
      </w:r>
    </w:p>
    <w:p w14:paraId="3FD12797" w14:textId="4E31C2A1" w:rsidR="003548B1" w:rsidRPr="00944A5B" w:rsidRDefault="003548B1">
      <w:pPr>
        <w:rPr>
          <w:rFonts w:cs="Libertinus Serif"/>
          <w:u w:val="single"/>
        </w:rPr>
      </w:pPr>
      <w:r w:rsidRPr="003548B1">
        <w:rPr>
          <w:rFonts w:cs="Libertinus Serif"/>
        </w:rPr>
        <w:t xml:space="preserve">The Czech </w:t>
      </w:r>
      <w:proofErr w:type="spellStart"/>
      <w:r w:rsidRPr="003548B1">
        <w:rPr>
          <w:rFonts w:cs="Libertinus Serif"/>
        </w:rPr>
        <w:t>converb</w:t>
      </w:r>
      <w:proofErr w:type="spellEnd"/>
      <w:r w:rsidRPr="003548B1">
        <w:rPr>
          <w:rFonts w:cs="Libertinus Serif"/>
        </w:rPr>
        <w:t xml:space="preserve"> differs from its counterpart in Polish (and in the other Slavic languages) because of its archaistic morphology, requiring agreement with the subject of the main clause. This particularity is due to a </w:t>
      </w:r>
      <w:proofErr w:type="spellStart"/>
      <w:r w:rsidRPr="003548B1">
        <w:rPr>
          <w:rFonts w:cs="Libertinus Serif"/>
        </w:rPr>
        <w:t>sociolinguistically</w:t>
      </w:r>
      <w:proofErr w:type="spellEnd"/>
      <w:r w:rsidRPr="003548B1">
        <w:rPr>
          <w:rFonts w:cs="Libertinus Serif"/>
        </w:rPr>
        <w:t xml:space="preserve"> motivated normative intervention in the 19</w:t>
      </w:r>
      <w:r w:rsidRPr="003548B1">
        <w:rPr>
          <w:rFonts w:cs="Libertinus Serif"/>
          <w:vertAlign w:val="superscript"/>
        </w:rPr>
        <w:t>th</w:t>
      </w:r>
      <w:r w:rsidRPr="003548B1">
        <w:rPr>
          <w:rFonts w:cs="Libertinus Serif"/>
        </w:rPr>
        <w:t xml:space="preserve"> century. By contrast, the Polish </w:t>
      </w:r>
      <w:proofErr w:type="spellStart"/>
      <w:r w:rsidRPr="003548B1">
        <w:rPr>
          <w:rFonts w:cs="Libertinus Serif"/>
        </w:rPr>
        <w:t>converb</w:t>
      </w:r>
      <w:proofErr w:type="spellEnd"/>
      <w:r w:rsidRPr="003548B1">
        <w:rPr>
          <w:rFonts w:cs="Libertinus Serif"/>
        </w:rPr>
        <w:t xml:space="preserve">, whose adverbialization was accepted by the norm, is well attested in contemporary language. However, despite these differences in frequency, the two Slavic forms share a clear morphological delimitation vis-à-vis the present participle forms, displaying full adjectival morphology and limited to adnominal use. This situation contrasts with French, where the </w:t>
      </w:r>
      <w:proofErr w:type="spellStart"/>
      <w:r w:rsidRPr="003548B1">
        <w:rPr>
          <w:rFonts w:cs="Libertinus Serif"/>
          <w:i/>
          <w:iCs/>
        </w:rPr>
        <w:t>gérondif</w:t>
      </w:r>
      <w:proofErr w:type="spellEnd"/>
      <w:r w:rsidRPr="003548B1">
        <w:rPr>
          <w:rFonts w:cs="Libertinus Serif"/>
          <w:i/>
          <w:iCs/>
        </w:rPr>
        <w:t xml:space="preserve"> </w:t>
      </w:r>
      <w:r w:rsidRPr="003548B1">
        <w:rPr>
          <w:rFonts w:cs="Libertinus Serif"/>
        </w:rPr>
        <w:t xml:space="preserve">and the </w:t>
      </w:r>
      <w:proofErr w:type="spellStart"/>
      <w:r w:rsidRPr="003548B1">
        <w:rPr>
          <w:rFonts w:cs="Libertinus Serif"/>
          <w:i/>
          <w:iCs/>
        </w:rPr>
        <w:t>participe</w:t>
      </w:r>
      <w:proofErr w:type="spellEnd"/>
      <w:r w:rsidRPr="003548B1">
        <w:rPr>
          <w:rFonts w:cs="Libertinus Serif"/>
          <w:i/>
          <w:iCs/>
        </w:rPr>
        <w:t xml:space="preserve"> </w:t>
      </w:r>
      <w:proofErr w:type="spellStart"/>
      <w:r w:rsidRPr="003548B1">
        <w:rPr>
          <w:rFonts w:cs="Libertinus Serif"/>
          <w:i/>
          <w:iCs/>
        </w:rPr>
        <w:t>présent</w:t>
      </w:r>
      <w:proofErr w:type="spellEnd"/>
      <w:r w:rsidRPr="003548B1">
        <w:rPr>
          <w:rFonts w:cs="Libertinus Serif"/>
          <w:i/>
          <w:iCs/>
        </w:rPr>
        <w:t xml:space="preserve"> </w:t>
      </w:r>
      <w:r w:rsidRPr="003548B1">
        <w:rPr>
          <w:rFonts w:cs="Libertinus Serif"/>
        </w:rPr>
        <w:t>had undergone categorial blending (</w:t>
      </w:r>
      <w:proofErr w:type="spellStart"/>
      <w:r w:rsidRPr="003548B1">
        <w:rPr>
          <w:rFonts w:cs="Libertinus Serif"/>
        </w:rPr>
        <w:t>Vangaever</w:t>
      </w:r>
      <w:proofErr w:type="spellEnd"/>
      <w:r w:rsidRPr="003548B1">
        <w:rPr>
          <w:rFonts w:cs="Libertinus Serif"/>
        </w:rPr>
        <w:t xml:space="preserve"> 2022), and only during the 18</w:t>
      </w:r>
      <w:r w:rsidRPr="003548B1">
        <w:rPr>
          <w:rFonts w:cs="Libertinus Serif"/>
          <w:vertAlign w:val="superscript"/>
        </w:rPr>
        <w:t>th</w:t>
      </w:r>
      <w:r w:rsidRPr="003548B1">
        <w:rPr>
          <w:rFonts w:cs="Libertinus Serif"/>
        </w:rPr>
        <w:t xml:space="preserve"> century the </w:t>
      </w:r>
      <w:proofErr w:type="spellStart"/>
      <w:r w:rsidRPr="003548B1">
        <w:rPr>
          <w:rFonts w:cs="Libertinus Serif"/>
          <w:i/>
          <w:iCs/>
        </w:rPr>
        <w:t>gérondif</w:t>
      </w:r>
      <w:proofErr w:type="spellEnd"/>
      <w:r w:rsidRPr="003548B1">
        <w:rPr>
          <w:rFonts w:cs="Libertinus Serif"/>
          <w:i/>
          <w:iCs/>
        </w:rPr>
        <w:t xml:space="preserve"> </w:t>
      </w:r>
      <w:r w:rsidRPr="003548B1">
        <w:rPr>
          <w:rFonts w:cs="Libertinus Serif"/>
        </w:rPr>
        <w:t xml:space="preserve">came to be clearly distinguished formally by the </w:t>
      </w:r>
      <w:proofErr w:type="spellStart"/>
      <w:r w:rsidRPr="003548B1">
        <w:rPr>
          <w:rFonts w:cs="Libertinus Serif"/>
        </w:rPr>
        <w:t>adposition</w:t>
      </w:r>
      <w:proofErr w:type="spellEnd"/>
      <w:r w:rsidRPr="003548B1">
        <w:rPr>
          <w:rFonts w:cs="Libertinus Serif"/>
        </w:rPr>
        <w:t xml:space="preserve"> </w:t>
      </w:r>
      <w:proofErr w:type="spellStart"/>
      <w:r w:rsidRPr="003548B1">
        <w:rPr>
          <w:rFonts w:cs="Libertinus Serif"/>
          <w:i/>
          <w:iCs/>
        </w:rPr>
        <w:t>en</w:t>
      </w:r>
      <w:proofErr w:type="spellEnd"/>
      <w:r w:rsidRPr="003548B1">
        <w:rPr>
          <w:rFonts w:cs="Libertinus Serif"/>
        </w:rPr>
        <w:t>. As a result, today the functions of the two forms partially overlap</w:t>
      </w:r>
      <w:r w:rsidR="00944A5B" w:rsidRPr="00944A5B">
        <w:rPr>
          <w:rFonts w:cs="Libertinus Serif"/>
        </w:rPr>
        <w:t>.</w:t>
      </w:r>
    </w:p>
    <w:p w14:paraId="76225C07" w14:textId="529BDF90" w:rsidR="00006ACF" w:rsidRDefault="003548B1" w:rsidP="003548B1">
      <w:pPr>
        <w:rPr>
          <w:rFonts w:cs="Libertinus Serif"/>
        </w:rPr>
      </w:pPr>
      <w:r w:rsidRPr="003548B1">
        <w:rPr>
          <w:rFonts w:cs="Libertinus Serif"/>
        </w:rPr>
        <w:t xml:space="preserve">We explore the (non-)equivalence of the three forms and the competing constructions in large data from the </w:t>
      </w:r>
      <w:proofErr w:type="spellStart"/>
      <w:r w:rsidRPr="003548B1">
        <w:rPr>
          <w:rFonts w:cs="Libertinus Serif"/>
        </w:rPr>
        <w:t>InterCorp</w:t>
      </w:r>
      <w:proofErr w:type="spellEnd"/>
      <w:r w:rsidRPr="003548B1">
        <w:rPr>
          <w:rFonts w:cs="Libertinus Serif"/>
        </w:rPr>
        <w:t xml:space="preserve"> parallel corpus (https://intercorp.korpus.cz/), limited to contemporary fiction. The analysis is conducted on all texts in the language pairs and on manually </w:t>
      </w:r>
      <w:proofErr w:type="spellStart"/>
      <w:r w:rsidRPr="003548B1">
        <w:rPr>
          <w:rFonts w:cs="Libertinus Serif"/>
        </w:rPr>
        <w:t>analyzed</w:t>
      </w:r>
      <w:proofErr w:type="spellEnd"/>
      <w:r w:rsidRPr="003548B1">
        <w:rPr>
          <w:rFonts w:cs="Libertinus Serif"/>
        </w:rPr>
        <w:t xml:space="preserve"> samples of 500 occurrences of </w:t>
      </w:r>
      <w:proofErr w:type="spellStart"/>
      <w:r w:rsidRPr="003548B1">
        <w:rPr>
          <w:rFonts w:cs="Libertinus Serif"/>
        </w:rPr>
        <w:t>converbs</w:t>
      </w:r>
      <w:proofErr w:type="spellEnd"/>
      <w:r w:rsidRPr="003548B1">
        <w:rPr>
          <w:rFonts w:cs="Libertinus Serif"/>
        </w:rPr>
        <w:t xml:space="preserve"> in the six directions of translation. The analysis of parallel concordances shows that the Czech </w:t>
      </w:r>
      <w:proofErr w:type="spellStart"/>
      <w:r w:rsidRPr="003548B1">
        <w:rPr>
          <w:rFonts w:cs="Libertinus Serif"/>
        </w:rPr>
        <w:t>converb</w:t>
      </w:r>
      <w:proofErr w:type="spellEnd"/>
      <w:r w:rsidRPr="003548B1">
        <w:rPr>
          <w:rFonts w:cs="Libertinus Serif"/>
        </w:rPr>
        <w:t xml:space="preserve"> is strongly contested by finite verb forms in coordinate and subordinate clauses (5% </w:t>
      </w:r>
      <w:proofErr w:type="spellStart"/>
      <w:r w:rsidRPr="003548B1">
        <w:rPr>
          <w:rFonts w:cs="Libertinus Serif"/>
        </w:rPr>
        <w:t>converbs</w:t>
      </w:r>
      <w:proofErr w:type="spellEnd"/>
      <w:r w:rsidRPr="003548B1">
        <w:rPr>
          <w:rFonts w:cs="Libertinus Serif"/>
        </w:rPr>
        <w:t xml:space="preserve"> vs. 70% finite verbs, in translations both from French and Polish). By contrast, the Polish </w:t>
      </w:r>
      <w:proofErr w:type="spellStart"/>
      <w:r w:rsidRPr="003548B1">
        <w:rPr>
          <w:rFonts w:cs="Libertinus Serif"/>
        </w:rPr>
        <w:t>converb</w:t>
      </w:r>
      <w:proofErr w:type="spellEnd"/>
      <w:r w:rsidRPr="003548B1">
        <w:rPr>
          <w:rFonts w:cs="Libertinus Serif"/>
        </w:rPr>
        <w:t xml:space="preserve"> represents 60% of equivalents of both Czech and French </w:t>
      </w:r>
      <w:proofErr w:type="spellStart"/>
      <w:r w:rsidRPr="003548B1">
        <w:rPr>
          <w:rFonts w:cs="Libertinus Serif"/>
        </w:rPr>
        <w:t>converbs</w:t>
      </w:r>
      <w:proofErr w:type="spellEnd"/>
      <w:r w:rsidRPr="003548B1">
        <w:rPr>
          <w:rFonts w:cs="Libertinus Serif"/>
        </w:rPr>
        <w:t xml:space="preserve">, which indicates that </w:t>
      </w:r>
      <w:proofErr w:type="spellStart"/>
      <w:r w:rsidRPr="003548B1">
        <w:rPr>
          <w:rFonts w:cs="Libertinus Serif"/>
        </w:rPr>
        <w:t>converbs</w:t>
      </w:r>
      <w:proofErr w:type="spellEnd"/>
      <w:r w:rsidRPr="003548B1">
        <w:rPr>
          <w:rFonts w:cs="Libertinus Serif"/>
        </w:rPr>
        <w:t xml:space="preserve"> are a more important means </w:t>
      </w:r>
      <w:r w:rsidRPr="00536431">
        <w:rPr>
          <w:rFonts w:cs="Libertinus Serif"/>
        </w:rPr>
        <w:t xml:space="preserve">of adverbial subordination in Polish than in Czech. Finally, the analysis of </w:t>
      </w:r>
      <w:r w:rsidRPr="00536431">
        <w:rPr>
          <w:rFonts w:cs="Libertinus Serif"/>
        </w:rPr>
        <w:lastRenderedPageBreak/>
        <w:t>translations from Slavic into French reveals</w:t>
      </w:r>
      <w:r w:rsidR="00944A5B" w:rsidRPr="00536431">
        <w:rPr>
          <w:rFonts w:cs="Libertinus Serif"/>
        </w:rPr>
        <w:t xml:space="preserve"> </w:t>
      </w:r>
      <w:r w:rsidR="00D553AC">
        <w:rPr>
          <w:rFonts w:cs="Libertinus Serif"/>
        </w:rPr>
        <w:t xml:space="preserve">an important systemic </w:t>
      </w:r>
      <w:r w:rsidR="008B247E">
        <w:rPr>
          <w:rFonts w:cs="Libertinus Serif"/>
        </w:rPr>
        <w:t>difference</w:t>
      </w:r>
      <w:r w:rsidR="00D553AC">
        <w:rPr>
          <w:rFonts w:cs="Libertinus Serif"/>
        </w:rPr>
        <w:t>:</w:t>
      </w:r>
      <w:r w:rsidR="00536431" w:rsidRPr="00536431">
        <w:rPr>
          <w:rFonts w:cs="Libertinus Serif"/>
        </w:rPr>
        <w:t xml:space="preserve"> </w:t>
      </w:r>
      <w:r w:rsidRPr="00536431">
        <w:rPr>
          <w:rFonts w:cs="Libertinus Serif"/>
        </w:rPr>
        <w:t xml:space="preserve">the </w:t>
      </w:r>
      <w:proofErr w:type="spellStart"/>
      <w:r w:rsidRPr="00536431">
        <w:rPr>
          <w:rFonts w:cs="Libertinus Serif"/>
        </w:rPr>
        <w:t>converb</w:t>
      </w:r>
      <w:proofErr w:type="spellEnd"/>
      <w:r w:rsidRPr="00536431">
        <w:rPr>
          <w:rFonts w:cs="Libertinus Serif"/>
        </w:rPr>
        <w:t xml:space="preserve"> (</w:t>
      </w:r>
      <w:proofErr w:type="spellStart"/>
      <w:r w:rsidRPr="00536431">
        <w:rPr>
          <w:rFonts w:cs="Libertinus Serif"/>
          <w:i/>
          <w:iCs/>
        </w:rPr>
        <w:t>gérondif</w:t>
      </w:r>
      <w:proofErr w:type="spellEnd"/>
      <w:r w:rsidRPr="00536431">
        <w:rPr>
          <w:rFonts w:cs="Libertinus Serif"/>
        </w:rPr>
        <w:t>)</w:t>
      </w:r>
      <w:r w:rsidRPr="00536431">
        <w:rPr>
          <w:rFonts w:cs="Libertinus Serif"/>
          <w:i/>
          <w:iCs/>
        </w:rPr>
        <w:t xml:space="preserve"> </w:t>
      </w:r>
      <w:r w:rsidRPr="00536431">
        <w:rPr>
          <w:rFonts w:cs="Libertinus Serif"/>
        </w:rPr>
        <w:t xml:space="preserve">and the </w:t>
      </w:r>
      <w:proofErr w:type="spellStart"/>
      <w:r w:rsidRPr="00536431">
        <w:rPr>
          <w:rFonts w:cs="Libertinus Serif"/>
          <w:i/>
          <w:iCs/>
        </w:rPr>
        <w:t>participe</w:t>
      </w:r>
      <w:proofErr w:type="spellEnd"/>
      <w:r w:rsidRPr="00536431">
        <w:rPr>
          <w:rFonts w:cs="Libertinus Serif"/>
          <w:i/>
          <w:iCs/>
        </w:rPr>
        <w:t xml:space="preserve"> </w:t>
      </w:r>
      <w:proofErr w:type="spellStart"/>
      <w:r w:rsidRPr="00536431">
        <w:rPr>
          <w:rFonts w:cs="Libertinus Serif"/>
          <w:i/>
          <w:iCs/>
        </w:rPr>
        <w:t>présent</w:t>
      </w:r>
      <w:proofErr w:type="spellEnd"/>
      <w:r w:rsidRPr="00536431">
        <w:rPr>
          <w:rFonts w:cs="Libertinus Serif"/>
          <w:i/>
          <w:iCs/>
        </w:rPr>
        <w:t xml:space="preserve"> </w:t>
      </w:r>
      <w:r w:rsidRPr="00536431">
        <w:rPr>
          <w:rFonts w:cs="Libertinus Serif"/>
        </w:rPr>
        <w:t xml:space="preserve">represent each 30% of translation equivalents of Slavic </w:t>
      </w:r>
      <w:proofErr w:type="spellStart"/>
      <w:r w:rsidRPr="00536431">
        <w:rPr>
          <w:rFonts w:cs="Libertinus Serif"/>
        </w:rPr>
        <w:t>converbs</w:t>
      </w:r>
      <w:proofErr w:type="spellEnd"/>
      <w:r w:rsidR="00D553AC">
        <w:rPr>
          <w:rFonts w:cs="Libertinus Serif"/>
        </w:rPr>
        <w:t>.</w:t>
      </w:r>
      <w:r w:rsidRPr="00536431">
        <w:rPr>
          <w:rFonts w:cs="Libertinus Serif"/>
        </w:rPr>
        <w:t xml:space="preserve"> </w:t>
      </w:r>
      <w:r w:rsidR="00D553AC">
        <w:rPr>
          <w:rFonts w:cs="Libertinus Serif"/>
        </w:rPr>
        <w:t>T</w:t>
      </w:r>
      <w:r w:rsidRPr="00536431">
        <w:rPr>
          <w:rFonts w:cs="Libertinus Serif"/>
        </w:rPr>
        <w:t>he data indicates that the distribution of the two forms displays important semantic</w:t>
      </w:r>
      <w:r w:rsidRPr="003548B1">
        <w:rPr>
          <w:rFonts w:cs="Libertinus Serif"/>
        </w:rPr>
        <w:t xml:space="preserve"> and syntactic differences: the present participle favours ad-clausal use, semantically only loosely related with the main clause and tending towards a participant-oriented content (see Schultze-Berndt</w:t>
      </w:r>
      <w:r w:rsidR="00B14EAD">
        <w:rPr>
          <w:rFonts w:cs="Libertinus Serif"/>
        </w:rPr>
        <w:t>/</w:t>
      </w:r>
      <w:proofErr w:type="spellStart"/>
      <w:r w:rsidRPr="003548B1">
        <w:rPr>
          <w:rFonts w:cs="Libertinus Serif"/>
        </w:rPr>
        <w:t>Himmelmann</w:t>
      </w:r>
      <w:proofErr w:type="spellEnd"/>
      <w:r w:rsidRPr="003548B1">
        <w:rPr>
          <w:rFonts w:cs="Libertinus Serif"/>
        </w:rPr>
        <w:t xml:space="preserve"> 2004), whereas the </w:t>
      </w:r>
      <w:proofErr w:type="spellStart"/>
      <w:r w:rsidRPr="003548B1">
        <w:rPr>
          <w:rFonts w:cs="Libertinus Serif"/>
          <w:i/>
          <w:iCs/>
        </w:rPr>
        <w:t>gérondif</w:t>
      </w:r>
      <w:proofErr w:type="spellEnd"/>
      <w:r w:rsidRPr="003548B1">
        <w:rPr>
          <w:rFonts w:cs="Libertinus Serif"/>
          <w:i/>
          <w:iCs/>
        </w:rPr>
        <w:t xml:space="preserve"> </w:t>
      </w:r>
      <w:r w:rsidRPr="003548B1">
        <w:rPr>
          <w:rFonts w:cs="Libertinus Serif"/>
        </w:rPr>
        <w:t xml:space="preserve">is semantically more integrated into the main clause, with a tendency to an ‘event-oriented’ content. These results suggest that Slavic </w:t>
      </w:r>
      <w:proofErr w:type="spellStart"/>
      <w:r w:rsidRPr="003548B1">
        <w:rPr>
          <w:rFonts w:cs="Libertinus Serif"/>
        </w:rPr>
        <w:t>converbs</w:t>
      </w:r>
      <w:proofErr w:type="spellEnd"/>
      <w:r w:rsidRPr="003548B1">
        <w:rPr>
          <w:rFonts w:cs="Libertinus Serif"/>
        </w:rPr>
        <w:t xml:space="preserve"> have a broader range of uses than the French </w:t>
      </w:r>
      <w:proofErr w:type="spellStart"/>
      <w:r w:rsidRPr="003548B1">
        <w:rPr>
          <w:rFonts w:cs="Libertinus Serif"/>
        </w:rPr>
        <w:t>converb</w:t>
      </w:r>
      <w:proofErr w:type="spellEnd"/>
      <w:r w:rsidRPr="003548B1">
        <w:rPr>
          <w:rFonts w:cs="Libertinus Serif"/>
        </w:rPr>
        <w:t>.</w:t>
      </w:r>
      <w:r w:rsidR="00944A5B">
        <w:rPr>
          <w:rFonts w:cs="Libertinus Serif"/>
        </w:rPr>
        <w:t xml:space="preserve"> </w:t>
      </w:r>
    </w:p>
    <w:p w14:paraId="1764D13A" w14:textId="77777777" w:rsidR="00AB181E" w:rsidRPr="00536431" w:rsidRDefault="00224AA6">
      <w:pPr>
        <w:pStyle w:val="Seznamcitac"/>
        <w:rPr>
          <w:lang w:val="fr-FR"/>
        </w:rPr>
      </w:pPr>
      <w:r w:rsidRPr="00536431">
        <w:rPr>
          <w:lang w:val="fr-FR"/>
        </w:rPr>
        <w:t>References</w:t>
      </w:r>
    </w:p>
    <w:p w14:paraId="685A636B" w14:textId="77777777" w:rsidR="00536431" w:rsidRPr="00536431" w:rsidRDefault="00536431" w:rsidP="00536431">
      <w:pPr>
        <w:pStyle w:val="Literaturverzeichnis1"/>
        <w:ind w:left="397" w:hanging="397"/>
        <w:rPr>
          <w:rFonts w:eastAsia="Times New Roman" w:cs="Libertinus Serif"/>
          <w:color w:val="0563C1"/>
          <w:szCs w:val="19"/>
          <w:u w:val="single"/>
          <w:lang w:eastAsia="cs-CZ"/>
        </w:rPr>
      </w:pPr>
      <w:bookmarkStart w:id="0" w:name="_Hlk115768274"/>
      <w:r w:rsidRPr="00536431">
        <w:rPr>
          <w:rFonts w:cs="Libertinus Serif"/>
          <w:szCs w:val="19"/>
          <w:lang w:val="fr-FR"/>
        </w:rPr>
        <w:t>Čermák</w:t>
      </w:r>
      <w:r w:rsidRPr="00536431">
        <w:rPr>
          <w:rFonts w:eastAsiaTheme="minorEastAsia" w:cs="Libertinus Serif"/>
          <w:szCs w:val="19"/>
          <w:lang w:val="fr-FR" w:eastAsia="de-DE"/>
        </w:rPr>
        <w:t xml:space="preserve">, Petr </w:t>
      </w:r>
      <w:r w:rsidRPr="00536431">
        <w:rPr>
          <w:rFonts w:eastAsia="Times New Roman" w:cs="Libertinus Serif"/>
          <w:szCs w:val="19"/>
          <w:lang w:val="fr-FR"/>
        </w:rPr>
        <w:t>et</w:t>
      </w:r>
      <w:r w:rsidRPr="00536431">
        <w:rPr>
          <w:rFonts w:eastAsiaTheme="minorEastAsia" w:cs="Libertinus Serif"/>
          <w:szCs w:val="19"/>
          <w:lang w:val="fr-FR" w:eastAsia="de-DE"/>
        </w:rPr>
        <w:t xml:space="preserve"> al. </w:t>
      </w:r>
      <w:r w:rsidRPr="00536431">
        <w:rPr>
          <w:rFonts w:eastAsiaTheme="minorEastAsia" w:cs="Libertinus Serif"/>
          <w:szCs w:val="19"/>
          <w:lang w:eastAsia="de-DE"/>
        </w:rPr>
        <w:t xml:space="preserve">(2020): </w:t>
      </w:r>
      <w:r w:rsidRPr="00536431">
        <w:rPr>
          <w:rFonts w:eastAsiaTheme="minorEastAsia" w:cs="Libertinus Serif"/>
          <w:i/>
          <w:szCs w:val="19"/>
          <w:lang w:eastAsia="de-DE"/>
        </w:rPr>
        <w:t xml:space="preserve">Complex words, causatives, verbal </w:t>
      </w:r>
      <w:proofErr w:type="gramStart"/>
      <w:r w:rsidRPr="00536431">
        <w:rPr>
          <w:rFonts w:eastAsiaTheme="minorEastAsia" w:cs="Libertinus Serif"/>
          <w:i/>
          <w:szCs w:val="19"/>
          <w:lang w:eastAsia="de-DE"/>
        </w:rPr>
        <w:t>periphrases</w:t>
      </w:r>
      <w:proofErr w:type="gramEnd"/>
      <w:r w:rsidRPr="00536431">
        <w:rPr>
          <w:rFonts w:eastAsiaTheme="minorEastAsia" w:cs="Libertinus Serif"/>
          <w:i/>
          <w:szCs w:val="19"/>
          <w:lang w:eastAsia="de-DE"/>
        </w:rPr>
        <w:t xml:space="preserve"> and the gerund: Romance languages versus Czech (a parallel corpus-based study). </w:t>
      </w:r>
      <w:r w:rsidRPr="00536431">
        <w:rPr>
          <w:rFonts w:eastAsiaTheme="minorEastAsia" w:cs="Libertinus Serif"/>
          <w:szCs w:val="19"/>
          <w:lang w:eastAsia="de-DE"/>
        </w:rPr>
        <w:t xml:space="preserve">Praha: </w:t>
      </w:r>
      <w:proofErr w:type="spellStart"/>
      <w:r w:rsidRPr="00536431">
        <w:rPr>
          <w:rFonts w:eastAsiaTheme="minorEastAsia" w:cs="Libertinus Serif"/>
          <w:szCs w:val="19"/>
          <w:lang w:eastAsia="de-DE"/>
        </w:rPr>
        <w:t>Karolinum</w:t>
      </w:r>
      <w:proofErr w:type="spellEnd"/>
      <w:r w:rsidRPr="00536431">
        <w:rPr>
          <w:rFonts w:eastAsiaTheme="minorEastAsia" w:cs="Libertinus Serif"/>
          <w:szCs w:val="19"/>
          <w:lang w:eastAsia="de-DE"/>
        </w:rPr>
        <w:t xml:space="preserve">. URL: </w:t>
      </w:r>
      <w:hyperlink r:id="rId7" w:history="1">
        <w:r w:rsidRPr="00536431">
          <w:rPr>
            <w:rFonts w:eastAsia="Times New Roman" w:cs="Libertinus Serif"/>
            <w:color w:val="0563C1"/>
            <w:szCs w:val="19"/>
            <w:u w:val="single"/>
            <w:lang w:eastAsia="cs-CZ"/>
          </w:rPr>
          <w:t>http://hdl.handle.net/20.500.11956/117388</w:t>
        </w:r>
      </w:hyperlink>
      <w:r w:rsidRPr="00536431">
        <w:rPr>
          <w:rFonts w:eastAsia="Times New Roman" w:cs="Libertinus Serif"/>
          <w:color w:val="0563C1"/>
          <w:szCs w:val="19"/>
          <w:u w:val="single"/>
          <w:lang w:eastAsia="cs-CZ"/>
        </w:rPr>
        <w:t xml:space="preserve"> </w:t>
      </w:r>
      <w:r w:rsidRPr="00536431">
        <w:rPr>
          <w:rFonts w:cs="Libertinus Serif"/>
          <w:szCs w:val="19"/>
        </w:rPr>
        <w:t>(last access: 8 March 2023)</w:t>
      </w:r>
      <w:r w:rsidRPr="00536431">
        <w:rPr>
          <w:rFonts w:eastAsia="Times New Roman" w:cs="Libertinus Serif"/>
          <w:color w:val="0563C1"/>
          <w:szCs w:val="19"/>
          <w:u w:val="single"/>
          <w:lang w:eastAsia="cs-CZ"/>
        </w:rPr>
        <w:t xml:space="preserve">. </w:t>
      </w:r>
    </w:p>
    <w:p w14:paraId="6EA4DCDB" w14:textId="77777777" w:rsidR="00536431" w:rsidRPr="00536431" w:rsidRDefault="00536431" w:rsidP="00536431">
      <w:pPr>
        <w:pStyle w:val="Literaturverzeichnis1"/>
        <w:ind w:left="397" w:hanging="397"/>
        <w:rPr>
          <w:rFonts w:eastAsia="Times New Roman" w:cs="Libertinus Serif"/>
          <w:szCs w:val="19"/>
          <w:lang w:val="en-US"/>
        </w:rPr>
      </w:pPr>
      <w:proofErr w:type="spellStart"/>
      <w:r w:rsidRPr="00536431">
        <w:rPr>
          <w:rFonts w:cs="Libertinus Serif"/>
          <w:szCs w:val="19"/>
        </w:rPr>
        <w:t>Haspelmath</w:t>
      </w:r>
      <w:proofErr w:type="spellEnd"/>
      <w:r w:rsidRPr="00536431">
        <w:rPr>
          <w:rFonts w:eastAsia="Times New Roman" w:cs="Libertinus Serif"/>
          <w:szCs w:val="19"/>
        </w:rPr>
        <w:t xml:space="preserve">, Martin/König, Ekkehard (eds.) (1995): </w:t>
      </w:r>
      <w:proofErr w:type="spellStart"/>
      <w:r w:rsidRPr="00536431">
        <w:rPr>
          <w:rFonts w:eastAsia="Times New Roman" w:cs="Libertinus Serif"/>
          <w:i/>
          <w:iCs/>
          <w:szCs w:val="19"/>
          <w:lang w:val="cs-CZ"/>
        </w:rPr>
        <w:t>Converbs</w:t>
      </w:r>
      <w:proofErr w:type="spellEnd"/>
      <w:r w:rsidRPr="00536431">
        <w:rPr>
          <w:rFonts w:eastAsia="Times New Roman" w:cs="Libertinus Serif"/>
          <w:i/>
          <w:iCs/>
          <w:szCs w:val="19"/>
          <w:lang w:val="cs-CZ"/>
        </w:rPr>
        <w:t xml:space="preserve"> in </w:t>
      </w:r>
      <w:proofErr w:type="spellStart"/>
      <w:r w:rsidRPr="00536431">
        <w:rPr>
          <w:rFonts w:eastAsia="Times New Roman" w:cs="Libertinus Serif"/>
          <w:i/>
          <w:iCs/>
          <w:szCs w:val="19"/>
          <w:lang w:val="cs-CZ"/>
        </w:rPr>
        <w:t>Cross-Linguistic</w:t>
      </w:r>
      <w:proofErr w:type="spellEnd"/>
      <w:r w:rsidRPr="00536431">
        <w:rPr>
          <w:rFonts w:eastAsia="Times New Roman" w:cs="Libertinus Serif"/>
          <w:i/>
          <w:iCs/>
          <w:szCs w:val="19"/>
          <w:lang w:val="cs-CZ"/>
        </w:rPr>
        <w:t xml:space="preserve"> </w:t>
      </w:r>
      <w:proofErr w:type="spellStart"/>
      <w:r w:rsidRPr="00536431">
        <w:rPr>
          <w:rFonts w:eastAsia="Times New Roman" w:cs="Libertinus Serif"/>
          <w:i/>
          <w:iCs/>
          <w:szCs w:val="19"/>
          <w:lang w:val="cs-CZ"/>
        </w:rPr>
        <w:t>Perspective</w:t>
      </w:r>
      <w:proofErr w:type="spellEnd"/>
      <w:r w:rsidRPr="00536431">
        <w:rPr>
          <w:rFonts w:eastAsia="Times New Roman" w:cs="Libertinus Serif"/>
          <w:szCs w:val="19"/>
          <w:lang w:val="cs-CZ"/>
        </w:rPr>
        <w:t>.</w:t>
      </w:r>
      <w:r w:rsidRPr="00536431">
        <w:rPr>
          <w:rFonts w:eastAsia="Times New Roman" w:cs="Libertinus Serif"/>
          <w:i/>
          <w:iCs/>
          <w:szCs w:val="19"/>
          <w:lang w:val="cs-CZ"/>
        </w:rPr>
        <w:t xml:space="preserve"> </w:t>
      </w:r>
      <w:proofErr w:type="spellStart"/>
      <w:r w:rsidRPr="00536431">
        <w:rPr>
          <w:rFonts w:eastAsia="Times New Roman" w:cs="Libertinus Serif"/>
          <w:szCs w:val="19"/>
          <w:lang w:val="cs-CZ"/>
        </w:rPr>
        <w:t>Berlin</w:t>
      </w:r>
      <w:proofErr w:type="spellEnd"/>
      <w:r w:rsidRPr="00536431">
        <w:rPr>
          <w:rFonts w:eastAsia="Times New Roman" w:cs="Libertinus Serif"/>
          <w:szCs w:val="19"/>
          <w:lang w:val="cs-CZ"/>
        </w:rPr>
        <w:t xml:space="preserve">: </w:t>
      </w:r>
      <w:proofErr w:type="spellStart"/>
      <w:r w:rsidRPr="00536431">
        <w:rPr>
          <w:rFonts w:eastAsia="Times New Roman" w:cs="Libertinus Serif"/>
          <w:szCs w:val="19"/>
          <w:lang w:val="cs-CZ"/>
        </w:rPr>
        <w:t>Mouton</w:t>
      </w:r>
      <w:proofErr w:type="spellEnd"/>
      <w:r w:rsidRPr="00536431">
        <w:rPr>
          <w:rFonts w:eastAsia="Times New Roman" w:cs="Libertinus Serif"/>
          <w:szCs w:val="19"/>
          <w:lang w:val="cs-CZ"/>
        </w:rPr>
        <w:t xml:space="preserve"> de </w:t>
      </w:r>
      <w:proofErr w:type="spellStart"/>
      <w:r w:rsidRPr="00536431">
        <w:rPr>
          <w:rFonts w:eastAsia="Times New Roman" w:cs="Libertinus Serif"/>
          <w:szCs w:val="19"/>
          <w:lang w:val="cs-CZ"/>
        </w:rPr>
        <w:t>Gruyter</w:t>
      </w:r>
      <w:proofErr w:type="spellEnd"/>
      <w:r w:rsidRPr="00536431">
        <w:rPr>
          <w:rFonts w:eastAsia="Times New Roman" w:cs="Libertinus Serif"/>
          <w:szCs w:val="19"/>
          <w:lang w:val="cs-CZ"/>
        </w:rPr>
        <w:t xml:space="preserve">, pp. </w:t>
      </w:r>
      <w:r w:rsidRPr="00536431">
        <w:rPr>
          <w:rFonts w:eastAsia="Times New Roman" w:cs="Libertinus Serif"/>
          <w:szCs w:val="19"/>
          <w:lang w:val="en-US"/>
        </w:rPr>
        <w:t xml:space="preserve">1–57. </w:t>
      </w:r>
    </w:p>
    <w:p w14:paraId="45B9A75B" w14:textId="5CDF801E" w:rsidR="00536431" w:rsidRPr="00536431" w:rsidRDefault="00536431" w:rsidP="00536431">
      <w:pPr>
        <w:pStyle w:val="Literaturverzeichnis1"/>
        <w:ind w:left="397" w:hanging="397"/>
        <w:rPr>
          <w:rFonts w:cs="Libertinus Serif"/>
          <w:szCs w:val="19"/>
        </w:rPr>
      </w:pPr>
      <w:proofErr w:type="spellStart"/>
      <w:r w:rsidRPr="00536431">
        <w:rPr>
          <w:rFonts w:cs="Libertinus Serif"/>
          <w:szCs w:val="19"/>
        </w:rPr>
        <w:t>Nádvorníková</w:t>
      </w:r>
      <w:proofErr w:type="spellEnd"/>
      <w:r w:rsidRPr="00536431">
        <w:rPr>
          <w:rFonts w:cs="Libertinus Serif"/>
          <w:szCs w:val="19"/>
        </w:rPr>
        <w:t>, Olga</w:t>
      </w:r>
      <w:r>
        <w:rPr>
          <w:rFonts w:cs="Libertinus Serif"/>
          <w:szCs w:val="19"/>
        </w:rPr>
        <w:t xml:space="preserve"> (</w:t>
      </w:r>
      <w:r w:rsidRPr="00536431">
        <w:rPr>
          <w:rFonts w:cs="Libertinus Serif"/>
          <w:szCs w:val="19"/>
        </w:rPr>
        <w:t>2021</w:t>
      </w:r>
      <w:r>
        <w:rPr>
          <w:rFonts w:cs="Libertinus Serif"/>
          <w:szCs w:val="19"/>
        </w:rPr>
        <w:t>):</w:t>
      </w:r>
      <w:r w:rsidRPr="00536431">
        <w:rPr>
          <w:rFonts w:cs="Libertinus Serif"/>
          <w:szCs w:val="19"/>
        </w:rPr>
        <w:t xml:space="preserve"> Stylistic normalisation, </w:t>
      </w:r>
      <w:proofErr w:type="gramStart"/>
      <w:r w:rsidRPr="00536431">
        <w:rPr>
          <w:rFonts w:cs="Libertinus Serif"/>
          <w:szCs w:val="19"/>
        </w:rPr>
        <w:t>convergence</w:t>
      </w:r>
      <w:proofErr w:type="gramEnd"/>
      <w:r w:rsidRPr="00536431">
        <w:rPr>
          <w:rFonts w:cs="Libertinus Serif"/>
          <w:szCs w:val="19"/>
        </w:rPr>
        <w:t xml:space="preserve"> and cross-linguistic interference in translation: The case of the Czech transgressive. In: </w:t>
      </w:r>
      <w:proofErr w:type="spellStart"/>
      <w:r w:rsidRPr="00536431">
        <w:rPr>
          <w:rFonts w:cs="Libertinus Serif"/>
          <w:szCs w:val="19"/>
        </w:rPr>
        <w:t>Bisiada</w:t>
      </w:r>
      <w:proofErr w:type="spellEnd"/>
      <w:r w:rsidRPr="00536431">
        <w:rPr>
          <w:rFonts w:cs="Libertinus Serif"/>
          <w:szCs w:val="19"/>
        </w:rPr>
        <w:t xml:space="preserve">, Mario (ed.), </w:t>
      </w:r>
      <w:r w:rsidRPr="00536431">
        <w:rPr>
          <w:rFonts w:cs="Libertinus Serif"/>
          <w:i/>
          <w:iCs/>
          <w:szCs w:val="19"/>
        </w:rPr>
        <w:t>Empirical Studies in Translation and Discourse</w:t>
      </w:r>
      <w:r w:rsidRPr="00536431">
        <w:rPr>
          <w:rFonts w:cs="Libertinus Serif"/>
          <w:szCs w:val="19"/>
        </w:rPr>
        <w:t xml:space="preserve">. Berlin: Language Science Press, pp. 53-93. </w:t>
      </w:r>
      <w:hyperlink r:id="rId8" w:history="1">
        <w:r w:rsidRPr="00536431">
          <w:rPr>
            <w:rStyle w:val="Hypertextovodkaz"/>
            <w:rFonts w:cs="Libertinus Serif"/>
            <w:szCs w:val="19"/>
          </w:rPr>
          <w:t>https://langsci-press.org/catalog/book/296</w:t>
        </w:r>
      </w:hyperlink>
      <w:r w:rsidRPr="00536431">
        <w:rPr>
          <w:rFonts w:cs="Libertinus Serif"/>
          <w:szCs w:val="19"/>
        </w:rPr>
        <w:t xml:space="preserve"> (last access: 8 March 2023).</w:t>
      </w:r>
    </w:p>
    <w:p w14:paraId="7E563A2D" w14:textId="37F73B5C" w:rsidR="00536431" w:rsidRPr="00536431" w:rsidRDefault="00536431" w:rsidP="00536431">
      <w:pPr>
        <w:pStyle w:val="Literaturverzeichnis1"/>
        <w:ind w:left="397" w:hanging="397"/>
        <w:rPr>
          <w:rFonts w:cs="Libertinus Serif"/>
          <w:szCs w:val="19"/>
        </w:rPr>
      </w:pPr>
      <w:r w:rsidRPr="00536431">
        <w:rPr>
          <w:rFonts w:eastAsia="Times New Roman" w:cs="Libertinus Serif"/>
          <w:szCs w:val="19"/>
          <w:lang w:val="cs-CZ"/>
        </w:rPr>
        <w:t>Nádvorníková</w:t>
      </w:r>
      <w:r w:rsidRPr="00536431">
        <w:rPr>
          <w:rFonts w:cs="Libertinus Serif"/>
          <w:szCs w:val="19"/>
        </w:rPr>
        <w:t>, Olga</w:t>
      </w:r>
      <w:r>
        <w:rPr>
          <w:rFonts w:cs="Libertinus Serif"/>
          <w:szCs w:val="19"/>
        </w:rPr>
        <w:t xml:space="preserve"> (</w:t>
      </w:r>
      <w:r w:rsidRPr="00536431">
        <w:rPr>
          <w:rFonts w:cs="Libertinus Serif"/>
          <w:szCs w:val="19"/>
        </w:rPr>
        <w:t>Forthcoming</w:t>
      </w:r>
      <w:r>
        <w:rPr>
          <w:rFonts w:cs="Libertinus Serif"/>
          <w:szCs w:val="19"/>
        </w:rPr>
        <w:t>):</w:t>
      </w:r>
      <w:r w:rsidRPr="00536431">
        <w:rPr>
          <w:rFonts w:cs="Libertinus Serif"/>
          <w:szCs w:val="19"/>
        </w:rPr>
        <w:t xml:space="preserve"> </w:t>
      </w:r>
      <w:proofErr w:type="spellStart"/>
      <w:r w:rsidRPr="00536431">
        <w:rPr>
          <w:rFonts w:cs="Libertinus Serif"/>
          <w:szCs w:val="19"/>
        </w:rPr>
        <w:t>Český</w:t>
      </w:r>
      <w:proofErr w:type="spellEnd"/>
      <w:r w:rsidRPr="00536431">
        <w:rPr>
          <w:rFonts w:cs="Libertinus Serif"/>
          <w:szCs w:val="19"/>
        </w:rPr>
        <w:t xml:space="preserve"> </w:t>
      </w:r>
      <w:proofErr w:type="spellStart"/>
      <w:r w:rsidRPr="00536431">
        <w:rPr>
          <w:rFonts w:cs="Libertinus Serif"/>
          <w:szCs w:val="19"/>
        </w:rPr>
        <w:t>přechodník</w:t>
      </w:r>
      <w:proofErr w:type="spellEnd"/>
      <w:r w:rsidRPr="00536431">
        <w:rPr>
          <w:rFonts w:cs="Libertinus Serif"/>
          <w:szCs w:val="19"/>
        </w:rPr>
        <w:t xml:space="preserve"> </w:t>
      </w:r>
      <w:proofErr w:type="spellStart"/>
      <w:r w:rsidRPr="00536431">
        <w:rPr>
          <w:rFonts w:cs="Libertinus Serif"/>
          <w:szCs w:val="19"/>
        </w:rPr>
        <w:t>jako</w:t>
      </w:r>
      <w:proofErr w:type="spellEnd"/>
      <w:r w:rsidRPr="00536431">
        <w:rPr>
          <w:rFonts w:cs="Libertinus Serif"/>
          <w:szCs w:val="19"/>
        </w:rPr>
        <w:t xml:space="preserve"> </w:t>
      </w:r>
      <w:proofErr w:type="spellStart"/>
      <w:r w:rsidRPr="00536431">
        <w:rPr>
          <w:rFonts w:cs="Libertinus Serif"/>
          <w:szCs w:val="19"/>
        </w:rPr>
        <w:t>konverbum</w:t>
      </w:r>
      <w:proofErr w:type="spellEnd"/>
      <w:r w:rsidRPr="00536431">
        <w:rPr>
          <w:rFonts w:cs="Libertinus Serif"/>
          <w:szCs w:val="19"/>
        </w:rPr>
        <w:t xml:space="preserve">: </w:t>
      </w:r>
      <w:proofErr w:type="spellStart"/>
      <w:r w:rsidRPr="00536431">
        <w:rPr>
          <w:rFonts w:cs="Libertinus Serif"/>
          <w:szCs w:val="19"/>
        </w:rPr>
        <w:t>Korpusová</w:t>
      </w:r>
      <w:proofErr w:type="spellEnd"/>
      <w:r w:rsidRPr="00536431">
        <w:rPr>
          <w:rFonts w:cs="Libertinus Serif"/>
          <w:szCs w:val="19"/>
        </w:rPr>
        <w:t xml:space="preserve"> </w:t>
      </w:r>
      <w:proofErr w:type="spellStart"/>
      <w:r w:rsidRPr="00536431">
        <w:rPr>
          <w:rFonts w:cs="Libertinus Serif"/>
          <w:szCs w:val="19"/>
        </w:rPr>
        <w:t>analýza</w:t>
      </w:r>
      <w:proofErr w:type="spellEnd"/>
      <w:r w:rsidRPr="00536431">
        <w:rPr>
          <w:rFonts w:cs="Libertinus Serif"/>
          <w:szCs w:val="19"/>
        </w:rPr>
        <w:t xml:space="preserve"> </w:t>
      </w:r>
      <w:proofErr w:type="spellStart"/>
      <w:r w:rsidRPr="00536431">
        <w:rPr>
          <w:rFonts w:cs="Libertinus Serif"/>
          <w:szCs w:val="19"/>
        </w:rPr>
        <w:t>překladových</w:t>
      </w:r>
      <w:proofErr w:type="spellEnd"/>
      <w:r w:rsidRPr="00536431">
        <w:rPr>
          <w:rFonts w:cs="Libertinus Serif"/>
          <w:szCs w:val="19"/>
        </w:rPr>
        <w:t xml:space="preserve"> a </w:t>
      </w:r>
      <w:proofErr w:type="spellStart"/>
      <w:r w:rsidRPr="00536431">
        <w:rPr>
          <w:rFonts w:cs="Libertinus Serif"/>
          <w:szCs w:val="19"/>
        </w:rPr>
        <w:t>nepřekladových</w:t>
      </w:r>
      <w:proofErr w:type="spellEnd"/>
      <w:r w:rsidRPr="00536431">
        <w:rPr>
          <w:rFonts w:cs="Libertinus Serif"/>
          <w:szCs w:val="19"/>
        </w:rPr>
        <w:t xml:space="preserve"> </w:t>
      </w:r>
      <w:proofErr w:type="spellStart"/>
      <w:r w:rsidRPr="00536431">
        <w:rPr>
          <w:rFonts w:cs="Libertinus Serif"/>
          <w:szCs w:val="19"/>
        </w:rPr>
        <w:t>textů</w:t>
      </w:r>
      <w:proofErr w:type="spellEnd"/>
      <w:r w:rsidRPr="00536431">
        <w:rPr>
          <w:rFonts w:cs="Libertinus Serif"/>
          <w:szCs w:val="19"/>
        </w:rPr>
        <w:t xml:space="preserve"> [The Czech Transgressive as </w:t>
      </w:r>
      <w:proofErr w:type="spellStart"/>
      <w:r w:rsidRPr="00536431">
        <w:rPr>
          <w:rFonts w:cs="Libertinus Serif"/>
          <w:szCs w:val="19"/>
        </w:rPr>
        <w:t>Converb</w:t>
      </w:r>
      <w:proofErr w:type="spellEnd"/>
      <w:r w:rsidRPr="00536431">
        <w:rPr>
          <w:rFonts w:cs="Libertinus Serif"/>
          <w:szCs w:val="19"/>
        </w:rPr>
        <w:t xml:space="preserve">: A corpus-based analysis of translated and non-translated texts]. Praha: </w:t>
      </w:r>
      <w:proofErr w:type="spellStart"/>
      <w:r w:rsidRPr="00536431">
        <w:rPr>
          <w:rFonts w:cs="Libertinus Serif"/>
          <w:szCs w:val="19"/>
        </w:rPr>
        <w:t>Vydavatelství</w:t>
      </w:r>
      <w:proofErr w:type="spellEnd"/>
      <w:r w:rsidRPr="00536431">
        <w:rPr>
          <w:rFonts w:cs="Libertinus Serif"/>
          <w:szCs w:val="19"/>
        </w:rPr>
        <w:t xml:space="preserve"> FF UK.</w:t>
      </w:r>
    </w:p>
    <w:p w14:paraId="4D02D4AC" w14:textId="77777777" w:rsidR="00536431" w:rsidRPr="00536431" w:rsidRDefault="00536431" w:rsidP="00536431">
      <w:pPr>
        <w:pStyle w:val="Literaturverzeichnis1"/>
        <w:ind w:left="397" w:hanging="397"/>
        <w:rPr>
          <w:rFonts w:eastAsia="Times New Roman" w:cs="Libertinus Serif"/>
          <w:szCs w:val="19"/>
        </w:rPr>
      </w:pPr>
      <w:r w:rsidRPr="00536431">
        <w:rPr>
          <w:rFonts w:cs="Libertinus Serif"/>
          <w:szCs w:val="19"/>
        </w:rPr>
        <w:t>Ross</w:t>
      </w:r>
      <w:r w:rsidRPr="00536431">
        <w:rPr>
          <w:rFonts w:eastAsia="Times New Roman" w:cs="Libertinus Serif"/>
          <w:szCs w:val="19"/>
        </w:rPr>
        <w:t xml:space="preserve">, Daniel (2021): </w:t>
      </w:r>
      <w:proofErr w:type="spellStart"/>
      <w:r w:rsidRPr="00536431">
        <w:rPr>
          <w:rFonts w:eastAsia="Times New Roman" w:cs="Libertinus Serif"/>
          <w:i/>
          <w:iCs/>
          <w:szCs w:val="19"/>
        </w:rPr>
        <w:t>Pseudocoordination</w:t>
      </w:r>
      <w:proofErr w:type="spellEnd"/>
      <w:r w:rsidRPr="00536431">
        <w:rPr>
          <w:rFonts w:eastAsia="Times New Roman" w:cs="Libertinus Serif"/>
          <w:i/>
          <w:iCs/>
          <w:szCs w:val="19"/>
        </w:rPr>
        <w:t>, serial verb constructions and multi-verb predicates: The relationship between form and structure</w:t>
      </w:r>
      <w:r w:rsidRPr="00536431">
        <w:rPr>
          <w:rFonts w:eastAsia="Times New Roman" w:cs="Libertinus Serif"/>
          <w:szCs w:val="19"/>
        </w:rPr>
        <w:t xml:space="preserve">, PhD. Thesis. Urbana-Champaign, University of Illinois at Urbana-Champaign. </w:t>
      </w:r>
      <w:hyperlink r:id="rId9" w:history="1">
        <w:r w:rsidRPr="00536431">
          <w:rPr>
            <w:rStyle w:val="Hypertextovodkaz"/>
            <w:rFonts w:eastAsia="Times New Roman" w:cs="Libertinus Serif"/>
            <w:szCs w:val="19"/>
          </w:rPr>
          <w:t>http://hdl.handle.net/2142/113888</w:t>
        </w:r>
      </w:hyperlink>
      <w:r w:rsidRPr="00536431">
        <w:rPr>
          <w:rStyle w:val="Hypertextovodkaz"/>
          <w:rFonts w:eastAsia="Times New Roman" w:cs="Libertinus Serif"/>
          <w:szCs w:val="19"/>
        </w:rPr>
        <w:t xml:space="preserve"> </w:t>
      </w:r>
      <w:r w:rsidRPr="00536431">
        <w:rPr>
          <w:rFonts w:cs="Libertinus Serif"/>
          <w:szCs w:val="19"/>
        </w:rPr>
        <w:t>(last access: 8 March 2023).</w:t>
      </w:r>
    </w:p>
    <w:p w14:paraId="00A59BF0" w14:textId="77777777" w:rsidR="00536431" w:rsidRPr="00536431" w:rsidRDefault="00536431" w:rsidP="00536431">
      <w:pPr>
        <w:pStyle w:val="Literaturverzeichnis1"/>
        <w:ind w:left="397" w:hanging="397"/>
        <w:rPr>
          <w:rFonts w:cs="Libertinus Serif"/>
          <w:szCs w:val="19"/>
        </w:rPr>
      </w:pPr>
      <w:r w:rsidRPr="00536431">
        <w:rPr>
          <w:rFonts w:cs="Libertinus Serif"/>
          <w:szCs w:val="19"/>
        </w:rPr>
        <w:t>Schultze-</w:t>
      </w:r>
      <w:r w:rsidRPr="00536431">
        <w:rPr>
          <w:rFonts w:eastAsia="Times New Roman" w:cs="Libertinus Serif"/>
          <w:szCs w:val="19"/>
        </w:rPr>
        <w:t>Berndt</w:t>
      </w:r>
      <w:r w:rsidRPr="00536431">
        <w:rPr>
          <w:rFonts w:cs="Libertinus Serif"/>
          <w:szCs w:val="19"/>
        </w:rPr>
        <w:t>, Eva/</w:t>
      </w:r>
      <w:proofErr w:type="spellStart"/>
      <w:r w:rsidRPr="00536431">
        <w:rPr>
          <w:rFonts w:cs="Libertinus Serif"/>
          <w:szCs w:val="19"/>
        </w:rPr>
        <w:t>Himmelmann</w:t>
      </w:r>
      <w:proofErr w:type="spellEnd"/>
      <w:r w:rsidRPr="00536431">
        <w:rPr>
          <w:rFonts w:cs="Libertinus Serif"/>
          <w:szCs w:val="19"/>
        </w:rPr>
        <w:t xml:space="preserve">, Nikolaus (2004): Depictive secondary predicates in crosslinguistic perspective. In: </w:t>
      </w:r>
      <w:r w:rsidRPr="00536431">
        <w:rPr>
          <w:rFonts w:cs="Libertinus Serif"/>
          <w:i/>
          <w:iCs/>
          <w:szCs w:val="19"/>
        </w:rPr>
        <w:t>Linguistic Typology</w:t>
      </w:r>
      <w:r w:rsidRPr="00536431">
        <w:rPr>
          <w:rFonts w:cs="Libertinus Serif"/>
          <w:szCs w:val="19"/>
        </w:rPr>
        <w:t>,</w:t>
      </w:r>
      <w:r w:rsidRPr="00536431">
        <w:rPr>
          <w:rFonts w:cs="Libertinus Serif"/>
          <w:i/>
          <w:iCs/>
          <w:szCs w:val="19"/>
        </w:rPr>
        <w:t xml:space="preserve"> </w:t>
      </w:r>
      <w:r w:rsidRPr="00536431">
        <w:rPr>
          <w:rFonts w:cs="Libertinus Serif"/>
          <w:szCs w:val="19"/>
        </w:rPr>
        <w:t xml:space="preserve">8(1), pp. 59–131. </w:t>
      </w:r>
    </w:p>
    <w:p w14:paraId="6C5BE44E" w14:textId="77777777" w:rsidR="00536431" w:rsidRPr="00536431" w:rsidRDefault="00536431" w:rsidP="00536431">
      <w:pPr>
        <w:pStyle w:val="Literaturverzeichnis1"/>
        <w:ind w:left="397" w:hanging="397"/>
        <w:rPr>
          <w:rFonts w:cs="Libertinus Serif"/>
          <w:szCs w:val="19"/>
          <w:lang w:eastAsia="cs-CZ"/>
        </w:rPr>
      </w:pPr>
      <w:proofErr w:type="spellStart"/>
      <w:r w:rsidRPr="00536431">
        <w:rPr>
          <w:rFonts w:cs="Libertinus Serif"/>
          <w:szCs w:val="19"/>
        </w:rPr>
        <w:t>Vangaever</w:t>
      </w:r>
      <w:proofErr w:type="spellEnd"/>
      <w:r w:rsidRPr="00536431">
        <w:rPr>
          <w:rFonts w:cs="Libertinus Serif"/>
          <w:szCs w:val="19"/>
          <w:lang w:eastAsia="cs-CZ"/>
        </w:rPr>
        <w:t xml:space="preserve">, Jasper (2021): </w:t>
      </w:r>
      <w:r w:rsidRPr="00536431">
        <w:rPr>
          <w:rFonts w:cs="Libertinus Serif"/>
          <w:i/>
          <w:iCs/>
          <w:szCs w:val="19"/>
          <w:lang w:eastAsia="cs-CZ"/>
        </w:rPr>
        <w:t xml:space="preserve">Categories under pressure: the gerund and the present participle from Late Latin to Old French. </w:t>
      </w:r>
      <w:r w:rsidRPr="00536431">
        <w:rPr>
          <w:rFonts w:cs="Libertinus Serif"/>
          <w:szCs w:val="19"/>
          <w:lang w:eastAsia="cs-CZ"/>
        </w:rPr>
        <w:t xml:space="preserve">PhD Thesis. Universiteit Gent. </w:t>
      </w:r>
      <w:hyperlink r:id="rId10" w:history="1">
        <w:r w:rsidRPr="00536431">
          <w:rPr>
            <w:rStyle w:val="Hypertextovodkaz"/>
            <w:rFonts w:cs="Libertinus Serif"/>
            <w:szCs w:val="19"/>
            <w:lang w:eastAsia="cs-CZ"/>
          </w:rPr>
          <w:t>https://biblio.ugent.be/publication/8720139</w:t>
        </w:r>
      </w:hyperlink>
      <w:bookmarkEnd w:id="0"/>
      <w:r w:rsidRPr="00536431">
        <w:rPr>
          <w:rFonts w:cs="Libertinus Serif"/>
          <w:szCs w:val="19"/>
          <w:lang w:eastAsia="cs-CZ"/>
        </w:rPr>
        <w:t xml:space="preserve"> </w:t>
      </w:r>
      <w:r w:rsidRPr="00536431">
        <w:rPr>
          <w:rFonts w:cs="Libertinus Serif"/>
          <w:szCs w:val="19"/>
        </w:rPr>
        <w:t>(last access: 8 March 2023).</w:t>
      </w:r>
    </w:p>
    <w:p w14:paraId="6E00CF3F" w14:textId="77777777" w:rsidR="00AB181E" w:rsidRDefault="00224AA6">
      <w:pPr>
        <w:pStyle w:val="Nadpis1"/>
      </w:pPr>
      <w:r>
        <w:t>Contact information</w:t>
      </w:r>
    </w:p>
    <w:p w14:paraId="301BA31E" w14:textId="77777777" w:rsidR="00AB181E" w:rsidRDefault="00224AA6">
      <w:r>
        <w:t>Enter the name of each author, institution and email address. Please note that this information will be published. Use the format/style for reference entries.</w:t>
      </w:r>
    </w:p>
    <w:p w14:paraId="2F4D79DC" w14:textId="069A4067" w:rsidR="00AB181E" w:rsidRDefault="003548B1">
      <w:r>
        <w:rPr>
          <w:rStyle w:val="Siln"/>
        </w:rPr>
        <w:t xml:space="preserve">Olga </w:t>
      </w:r>
      <w:proofErr w:type="spellStart"/>
      <w:r>
        <w:rPr>
          <w:rStyle w:val="Siln"/>
        </w:rPr>
        <w:t>Nádvorníková</w:t>
      </w:r>
      <w:proofErr w:type="spellEnd"/>
    </w:p>
    <w:p w14:paraId="7408E341" w14:textId="02ABC3C8" w:rsidR="003548B1" w:rsidRPr="003548B1" w:rsidRDefault="003548B1">
      <w:r>
        <w:t>Institute of Romance Studies, Faculty of Arts, Charles University in Prague</w:t>
      </w:r>
    </w:p>
    <w:p w14:paraId="3119219E" w14:textId="735BF0ED" w:rsidR="003548B1" w:rsidRDefault="003548B1">
      <w:hyperlink r:id="rId11" w:history="1">
        <w:r w:rsidRPr="00004B72">
          <w:rPr>
            <w:rStyle w:val="Hypertextovodkaz"/>
          </w:rPr>
          <w:t>olga.nadvornikova@ff.cuni.cz</w:t>
        </w:r>
      </w:hyperlink>
      <w:r>
        <w:t xml:space="preserve"> </w:t>
      </w:r>
    </w:p>
    <w:p w14:paraId="6CB83715" w14:textId="77777777" w:rsidR="00AB181E" w:rsidRPr="003548B1" w:rsidRDefault="00AB181E">
      <w:pPr>
        <w:pStyle w:val="Literaturverzeichnis1"/>
        <w:ind w:left="0" w:firstLine="0"/>
      </w:pPr>
    </w:p>
    <w:p w14:paraId="2F4D9185" w14:textId="77777777" w:rsidR="00536431" w:rsidRPr="003548B1" w:rsidRDefault="00536431">
      <w:pPr>
        <w:pStyle w:val="Literaturverzeichnis1"/>
        <w:ind w:left="0" w:firstLine="0"/>
      </w:pPr>
    </w:p>
    <w:sectPr w:rsidR="00536431" w:rsidRPr="003548B1">
      <w:footerReference w:type="default" r:id="rId12"/>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01CC6" w14:textId="77777777" w:rsidR="009F4682" w:rsidRDefault="009F4682">
      <w:pPr>
        <w:spacing w:before="0" w:line="240" w:lineRule="auto"/>
      </w:pPr>
      <w:r>
        <w:separator/>
      </w:r>
    </w:p>
  </w:endnote>
  <w:endnote w:type="continuationSeparator" w:id="0">
    <w:p w14:paraId="49C3BE29" w14:textId="77777777" w:rsidR="009F4682" w:rsidRDefault="009F468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embedRegular r:id="rId1" w:fontKey="{E7F5D07D-F051-4634-ABF9-3BD9DC14E721}"/>
    <w:embedBold r:id="rId2" w:fontKey="{05FCD637-70FD-431D-A433-3E2BF158C2A0}"/>
    <w:embedItalic r:id="rId3" w:fontKey="{C73F660F-0610-4E1F-AEE4-0FF7CFBCCA78}"/>
  </w:font>
  <w:font w:name="Tahoma">
    <w:panose1 w:val="020B0604030504040204"/>
    <w:charset w:val="EE"/>
    <w:family w:val="swiss"/>
    <w:pitch w:val="variable"/>
    <w:sig w:usb0="E1002EFF" w:usb1="C000605B" w:usb2="00000029" w:usb3="00000000" w:csb0="000101FF" w:csb1="00000000"/>
    <w:embedRegular r:id="rId4" w:fontKey="{C2BEF594-B19C-418F-9446-AA7644FA2903}"/>
    <w:embedBold r:id="rId5" w:fontKey="{8D42202D-54C2-4676-987F-C450E8A20AE2}"/>
    <w:embedItalic r:id="rId6" w:fontKey="{B8D4D17D-C214-42C1-BD22-69713855CD5B}"/>
  </w:font>
  <w:font w:name="Libertinus Serif">
    <w:altName w:val="Calibri"/>
    <w:panose1 w:val="00000000000000000000"/>
    <w:charset w:val="00"/>
    <w:family w:val="modern"/>
    <w:notTrueType/>
    <w:pitch w:val="variable"/>
    <w:sig w:usb0="E0000AFF" w:usb1="0200E5FB" w:usb2="01000020" w:usb3="00000000" w:csb0="000001BF" w:csb1="00000000"/>
  </w:font>
  <w:font w:name="Fira Sans">
    <w:charset w:val="00"/>
    <w:family w:val="swiss"/>
    <w:pitch w:val="variable"/>
    <w:sig w:usb0="600002FF" w:usb1="00000001" w:usb2="00000000" w:usb3="00000000" w:csb0="0000019F" w:csb1="00000000"/>
    <w:embedRegular r:id="rId7" w:fontKey="{83E67966-2AF0-4D57-A717-F0F17958853C}"/>
    <w:embedBold r:id="rId8" w:fontKey="{DC795AA9-ED54-4C61-A87F-64F767681EFF}"/>
  </w:font>
  <w:font w:name="Times New Roman">
    <w:panose1 w:val="02020603050405020304"/>
    <w:charset w:val="EE"/>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80000001" w:csb1="00000000"/>
    <w:embedRegular r:id="rId9" w:fontKey="{C9D713F2-0299-4648-8D28-1D37223DEFA5}"/>
  </w:font>
  <w:font w:name="Liberation Sans">
    <w:altName w:val="Arial"/>
    <w:charset w:val="00"/>
    <w:family w:val="swiss"/>
    <w:pitch w:val="variable"/>
    <w:sig w:usb0="E0000AFF" w:usb1="500078FF" w:usb2="00000021" w:usb3="00000000" w:csb0="000001BF" w:csb1="00000000"/>
    <w:embedBold r:id="rId10" w:fontKey="{D23FA66F-B4C8-4243-83F1-45F2FC1315ED}"/>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embedRegular r:id="rId11" w:fontKey="{4936761B-B765-4A13-8D89-0948D107A2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8E18C" w14:textId="77777777" w:rsidR="00AB181E" w:rsidRDefault="00224AA6" w:rsidP="00694682">
    <w:pPr>
      <w:pStyle w:val="Zpat"/>
      <w:jc w:val="right"/>
    </w:pPr>
    <w:r>
      <w:rPr>
        <w:rStyle w:val="slostrnky"/>
        <w:rFonts w:cs="Libertinus Serif"/>
      </w:rPr>
      <w:fldChar w:fldCharType="begin"/>
    </w:r>
    <w:r>
      <w:rPr>
        <w:rStyle w:val="slostrnky"/>
        <w:rFonts w:cs="Libertinus Serif"/>
      </w:rPr>
      <w:instrText xml:space="preserve"> PAGE </w:instrText>
    </w:r>
    <w:r>
      <w:rPr>
        <w:rStyle w:val="slostrnky"/>
        <w:rFonts w:cs="Libertinus Serif"/>
      </w:rPr>
      <w:fldChar w:fldCharType="separate"/>
    </w:r>
    <w:r w:rsidR="004C5262">
      <w:rPr>
        <w:rStyle w:val="slostrnky"/>
        <w:rFonts w:cs="Libertinus Serif"/>
        <w:noProof/>
      </w:rPr>
      <w:t>3</w:t>
    </w:r>
    <w:r>
      <w:rPr>
        <w:rStyle w:val="slostrnky"/>
        <w:rFonts w:cs="Libertinus Serif"/>
      </w:rPr>
      <w:fldChar w:fldCharType="end"/>
    </w:r>
  </w:p>
  <w:p w14:paraId="7891C087" w14:textId="77777777" w:rsidR="00AB181E" w:rsidRDefault="00AB181E">
    <w:pPr>
      <w:pStyle w:val="Zpat"/>
    </w:pPr>
  </w:p>
  <w:p w14:paraId="0A93E0E0"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4F56E" w14:textId="77777777" w:rsidR="009F4682" w:rsidRDefault="009F4682">
      <w:pPr>
        <w:rPr>
          <w:sz w:val="12"/>
        </w:rPr>
      </w:pPr>
      <w:r>
        <w:separator/>
      </w:r>
    </w:p>
  </w:footnote>
  <w:footnote w:type="continuationSeparator" w:id="0">
    <w:p w14:paraId="3A48AB02" w14:textId="77777777" w:rsidR="009F4682" w:rsidRDefault="009F4682">
      <w:pPr>
        <w:rPr>
          <w:sz w:val="12"/>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16cid:durableId="2131242631">
    <w:abstractNumId w:val="0"/>
  </w:num>
  <w:num w:numId="2" w16cid:durableId="1980525698">
    <w:abstractNumId w:val="1"/>
  </w:num>
  <w:num w:numId="3" w16cid:durableId="19153148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TrueType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06ACF"/>
    <w:rsid w:val="000F11EC"/>
    <w:rsid w:val="00224AA6"/>
    <w:rsid w:val="00227F60"/>
    <w:rsid w:val="003548B1"/>
    <w:rsid w:val="004C5262"/>
    <w:rsid w:val="00536431"/>
    <w:rsid w:val="00584884"/>
    <w:rsid w:val="00694682"/>
    <w:rsid w:val="00717483"/>
    <w:rsid w:val="008B247E"/>
    <w:rsid w:val="00944A5B"/>
    <w:rsid w:val="009D4AD9"/>
    <w:rsid w:val="009F4682"/>
    <w:rsid w:val="00A54BA3"/>
    <w:rsid w:val="00AB181E"/>
    <w:rsid w:val="00B14EAD"/>
    <w:rsid w:val="00B22F8E"/>
    <w:rsid w:val="00C425D1"/>
    <w:rsid w:val="00D553AC"/>
    <w:rsid w:val="00DB1137"/>
    <w:rsid w:val="00F47A0D"/>
    <w:rsid w:val="00FD4A03"/>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937D4"/>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val="0"/>
      <w:spacing w:before="113" w:line="280" w:lineRule="exact"/>
      <w:jc w:val="both"/>
    </w:pPr>
    <w:rPr>
      <w:rFonts w:ascii="Libertinus Serif" w:hAnsi="Libertinus Serif"/>
    </w:rPr>
  </w:style>
  <w:style w:type="paragraph" w:styleId="Nadpis1">
    <w:name w:val="heading 1"/>
    <w:basedOn w:val="Normln"/>
    <w:next w:val="Normln"/>
    <w:link w:val="Nadpis1Char"/>
    <w:qFormat/>
    <w:pPr>
      <w:keepNext/>
      <w:keepLines/>
      <w:spacing w:before="340" w:after="113" w:line="360" w:lineRule="exact"/>
      <w:outlineLvl w:val="0"/>
    </w:pPr>
    <w:rPr>
      <w:rFonts w:ascii="Fira Sans" w:hAnsi="Fira Sans"/>
      <w:b/>
      <w:color w:val="4FAF4A"/>
      <w:sz w:val="28"/>
      <w:szCs w:val="32"/>
    </w:rPr>
  </w:style>
  <w:style w:type="paragraph" w:styleId="Nadpis2">
    <w:name w:val="heading 2"/>
    <w:basedOn w:val="Normln"/>
    <w:next w:val="Normln"/>
    <w:link w:val="Nadpis2Char"/>
    <w:qFormat/>
    <w:pPr>
      <w:keepNext/>
      <w:keepLines/>
      <w:spacing w:before="340" w:after="113" w:line="340" w:lineRule="exact"/>
      <w:outlineLvl w:val="1"/>
    </w:pPr>
    <w:rPr>
      <w:rFonts w:ascii="Fira Sans" w:hAnsi="Fira Sans"/>
      <w:b/>
      <w:color w:val="4FAF4A"/>
      <w:sz w:val="26"/>
      <w:szCs w:val="26"/>
    </w:rPr>
  </w:style>
  <w:style w:type="paragraph" w:styleId="Nadpis3">
    <w:name w:val="heading 3"/>
    <w:basedOn w:val="Normln"/>
    <w:next w:val="Normln"/>
    <w:link w:val="Nadpis3Char"/>
    <w:qFormat/>
    <w:pPr>
      <w:keepNext/>
      <w:keepLines/>
      <w:spacing w:before="227" w:after="113" w:line="320" w:lineRule="exact"/>
      <w:outlineLvl w:val="2"/>
    </w:pPr>
    <w:rPr>
      <w:rFonts w:ascii="Fira Sans" w:hAnsi="Fira Sans"/>
      <w:color w:val="4FAF4A"/>
      <w:sz w:val="24"/>
      <w:szCs w:val="24"/>
    </w:rPr>
  </w:style>
  <w:style w:type="paragraph" w:styleId="Nadpis4">
    <w:name w:val="heading 4"/>
    <w:basedOn w:val="Normln"/>
    <w:next w:val="Normln"/>
    <w:link w:val="Nadpis4Char"/>
    <w:qFormat/>
    <w:pPr>
      <w:keepNext/>
      <w:keepLines/>
      <w:spacing w:before="227"/>
      <w:outlineLvl w:val="3"/>
    </w:pPr>
    <w:rPr>
      <w:rFonts w:ascii="Fira Sans" w:hAnsi="Fira Sans"/>
      <w:iCs/>
      <w:color w:val="4FAF4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qFormat/>
    <w:rPr>
      <w:rFonts w:ascii="Fira Sans" w:eastAsia="Calibri" w:hAnsi="Fira Sans" w:cs="Tahoma"/>
      <w:b/>
      <w:color w:val="F79646"/>
      <w:sz w:val="28"/>
      <w:szCs w:val="32"/>
    </w:rPr>
  </w:style>
  <w:style w:type="character" w:customStyle="1" w:styleId="Nadpis2Char">
    <w:name w:val="Nadpis 2 Char"/>
    <w:basedOn w:val="Standardnpsmoodstavce"/>
    <w:link w:val="Nadpis2"/>
    <w:qFormat/>
    <w:rPr>
      <w:rFonts w:ascii="Fira Sans" w:eastAsia="Calibri" w:hAnsi="Fira Sans" w:cs="Tahoma"/>
      <w:b/>
      <w:color w:val="F79646"/>
      <w:sz w:val="26"/>
      <w:szCs w:val="26"/>
    </w:rPr>
  </w:style>
  <w:style w:type="character" w:customStyle="1" w:styleId="Nadpis3Char">
    <w:name w:val="Nadpis 3 Char"/>
    <w:basedOn w:val="Standardnpsmoodstavce"/>
    <w:link w:val="Nadpis3"/>
    <w:qFormat/>
    <w:rPr>
      <w:rFonts w:ascii="Fira Sans" w:eastAsia="Calibri" w:hAnsi="Fira Sans" w:cs="Tahoma"/>
      <w:color w:val="F79646"/>
      <w:sz w:val="24"/>
      <w:szCs w:val="24"/>
    </w:rPr>
  </w:style>
  <w:style w:type="character" w:customStyle="1" w:styleId="Nadpis4Char">
    <w:name w:val="Nadpis 4 Char"/>
    <w:basedOn w:val="Standardnpsmoodstavce"/>
    <w:link w:val="Nadpis4"/>
    <w:qFormat/>
    <w:rPr>
      <w:rFonts w:ascii="Fira Sans" w:eastAsia="Calibri" w:hAnsi="Fira Sans" w:cs="Tahoma"/>
      <w:iCs/>
      <w:color w:val="F79646"/>
    </w:rPr>
  </w:style>
  <w:style w:type="character" w:customStyle="1" w:styleId="NzevChar">
    <w:name w:val="Název Char"/>
    <w:basedOn w:val="Standardnpsmoodstavce"/>
    <w:link w:val="Nzev"/>
    <w:qFormat/>
    <w:rsid w:val="00227F60"/>
    <w:rPr>
      <w:rFonts w:ascii="Fira Sans" w:hAnsi="Fira Sans"/>
      <w:b/>
      <w:color w:val="4FAF4A"/>
      <w:sz w:val="38"/>
      <w:szCs w:val="56"/>
    </w:rPr>
  </w:style>
  <w:style w:type="character" w:styleId="Siln">
    <w:name w:val="Strong"/>
    <w:basedOn w:val="Standardnpsmoodstavce"/>
    <w:qFormat/>
    <w:rPr>
      <w:b/>
      <w:bCs/>
    </w:rPr>
  </w:style>
  <w:style w:type="character" w:styleId="Zdraznn">
    <w:name w:val="Emphasis"/>
    <w:basedOn w:val="Standardnpsmoodstavce"/>
    <w:qFormat/>
    <w:rPr>
      <w:i/>
      <w:iCs/>
    </w:rPr>
  </w:style>
  <w:style w:type="character" w:styleId="Zdraznnintenzivn">
    <w:name w:val="Intense Emphasis"/>
    <w:basedOn w:val="Standardnpsmoodstavce"/>
    <w:qFormat/>
    <w:rPr>
      <w:rFonts w:ascii="Libertinus Serif" w:hAnsi="Libertinus Serif"/>
      <w:b/>
      <w:bCs/>
      <w:i/>
      <w:iCs/>
      <w:color w:val="auto"/>
    </w:rPr>
  </w:style>
  <w:style w:type="character" w:customStyle="1" w:styleId="CittChar">
    <w:name w:val="Citát Char"/>
    <w:basedOn w:val="Standardnpsmoodstavce"/>
    <w:link w:val="Citt"/>
    <w:qFormat/>
    <w:rPr>
      <w:rFonts w:ascii="Libertinus Serif" w:hAnsi="Libertinus Serif"/>
      <w:iCs/>
      <w:sz w:val="20"/>
    </w:rPr>
  </w:style>
  <w:style w:type="character" w:customStyle="1" w:styleId="PodnadpisChar">
    <w:name w:val="Podnadpis Char"/>
    <w:basedOn w:val="Standardnpsmoodstavce"/>
    <w:link w:val="Podnadpis"/>
    <w:qFormat/>
    <w:rsid w:val="004C5262"/>
    <w:rPr>
      <w:rFonts w:ascii="Fira Sans" w:hAnsi="Fira Sans"/>
      <w:b/>
      <w:color w:val="5A5A5A"/>
      <w:spacing w:val="16"/>
      <w:sz w:val="28"/>
    </w:rPr>
  </w:style>
  <w:style w:type="character" w:customStyle="1" w:styleId="ZhlavChar">
    <w:name w:val="Záhlaví Char"/>
    <w:basedOn w:val="Standardnpsmoodstavce"/>
    <w:link w:val="Zhlav"/>
    <w:qFormat/>
    <w:rPr>
      <w:rFonts w:ascii="Times New Roman" w:hAnsi="Times New Roman"/>
      <w:sz w:val="24"/>
    </w:rPr>
  </w:style>
  <w:style w:type="character" w:customStyle="1" w:styleId="ZpatChar">
    <w:name w:val="Zápatí Char"/>
    <w:basedOn w:val="Standardnpsmoodstavce"/>
    <w:link w:val="Zpat"/>
    <w:qFormat/>
    <w:rPr>
      <w:rFonts w:ascii="Times New Roman" w:hAnsi="Times New Roman"/>
      <w:sz w:val="24"/>
    </w:rPr>
  </w:style>
  <w:style w:type="character" w:customStyle="1" w:styleId="Funotenzeichen-Text">
    <w:name w:val="Fußnotenzeichen-Text"/>
    <w:qFormat/>
    <w:rPr>
      <w:vertAlign w:val="superscript"/>
    </w:rPr>
  </w:style>
  <w:style w:type="character" w:styleId="Hypertextovodkaz">
    <w:name w:val="Hyperlink"/>
    <w:basedOn w:val="Standardnpsmoodstavce"/>
    <w:rPr>
      <w:color w:val="000080"/>
      <w:w w:val="100"/>
      <w:u w:val="thick" w:color="000080"/>
    </w:rPr>
  </w:style>
  <w:style w:type="character" w:styleId="slostrnky">
    <w:name w:val="page number"/>
    <w:basedOn w:val="Standardnpsmoodstavce"/>
    <w:qFormat/>
  </w:style>
  <w:style w:type="character" w:customStyle="1" w:styleId="TextpoznpodarouChar">
    <w:name w:val="Text pozn. pod čarou Char"/>
    <w:basedOn w:val="Standardnpsmoodstavce"/>
    <w:link w:val="Textpoznpodarou"/>
    <w:qFormat/>
    <w:rPr>
      <w:rFonts w:ascii="Times New Roman" w:hAnsi="Times New Roman"/>
      <w:sz w:val="20"/>
      <w:szCs w:val="20"/>
    </w:rPr>
  </w:style>
  <w:style w:type="character" w:customStyle="1" w:styleId="VrazncittChar">
    <w:name w:val="Výrazný citát Char"/>
    <w:basedOn w:val="Standardnpsmoodstavce"/>
    <w:link w:val="Vrazncitt"/>
    <w:qFormat/>
    <w:rPr>
      <w:rFonts w:ascii="Libertinus Serif" w:hAnsi="Libertinus Serif"/>
      <w:bCs/>
      <w:sz w:val="20"/>
    </w:rPr>
  </w:style>
  <w:style w:type="character" w:customStyle="1" w:styleId="KapitlchenSmallCapital">
    <w:name w:val="Kapitälchen/Small Capital"/>
    <w:basedOn w:val="Standardnpsmoodstavce"/>
    <w:qFormat/>
    <w:rPr>
      <w:smallCaps/>
    </w:rPr>
  </w:style>
  <w:style w:type="character" w:customStyle="1" w:styleId="Aufzhlungszeichen1">
    <w:name w:val="Aufzählungszeichen1"/>
    <w:qFormat/>
    <w:rPr>
      <w:rFonts w:ascii="OpenSymbol" w:eastAsia="OpenSymbol" w:hAnsi="OpenSymbol" w:cs="OpenSymbol"/>
    </w:rPr>
  </w:style>
  <w:style w:type="character" w:styleId="Znakapoznpodarou">
    <w:name w:val="footnote reference"/>
    <w:rPr>
      <w:vertAlign w:val="superscript"/>
    </w:rPr>
  </w:style>
  <w:style w:type="character" w:styleId="Odkaznavysvtlivky">
    <w:name w:val="endnote reference"/>
    <w:rPr>
      <w:vertAlign w:val="superscript"/>
    </w:rPr>
  </w:style>
  <w:style w:type="character" w:customStyle="1" w:styleId="TextbublinyChar">
    <w:name w:val="Text bubliny Char"/>
    <w:basedOn w:val="Standardnpsmoodstavce"/>
    <w:link w:val="Textbubliny"/>
    <w:qFormat/>
    <w:rPr>
      <w:rFonts w:ascii="Tahoma" w:hAnsi="Tahoma" w:cs="Tahoma"/>
      <w:sz w:val="16"/>
      <w:szCs w:val="16"/>
    </w:rPr>
  </w:style>
  <w:style w:type="paragraph" w:customStyle="1" w:styleId="berschrift">
    <w:name w:val="Überschrift"/>
    <w:basedOn w:val="Nadpis1"/>
    <w:next w:val="Zkladntext"/>
    <w:qFormat/>
    <w:pPr>
      <w:spacing w:before="240" w:after="120"/>
    </w:pPr>
    <w:rPr>
      <w:rFonts w:ascii="Liberation Sans" w:eastAsia="Noto Sans CJK SC" w:hAnsi="Liberation Sans" w:cs="Droid Sans Devanagari"/>
      <w:szCs w:val="28"/>
    </w:rPr>
  </w:style>
  <w:style w:type="paragraph" w:styleId="Zkladntext">
    <w:name w:val="Body Text"/>
    <w:basedOn w:val="Normln"/>
    <w:pPr>
      <w:spacing w:before="0" w:after="140" w:line="276" w:lineRule="auto"/>
    </w:pPr>
  </w:style>
  <w:style w:type="paragraph" w:styleId="Seznam">
    <w:name w:val="List"/>
    <w:basedOn w:val="Zkladntext"/>
    <w:rPr>
      <w:rFonts w:cs="Droid Sans Devanagari"/>
    </w:rPr>
  </w:style>
  <w:style w:type="paragraph" w:styleId="Titulek">
    <w:name w:val="caption"/>
    <w:basedOn w:val="Normln"/>
    <w:qFormat/>
    <w:pPr>
      <w:suppressLineNumbers/>
      <w:spacing w:after="227" w:line="232" w:lineRule="exact"/>
    </w:pPr>
    <w:rPr>
      <w:rFonts w:cs="Droid Sans Devanagari"/>
      <w:iCs/>
      <w:sz w:val="19"/>
      <w:szCs w:val="24"/>
    </w:rPr>
  </w:style>
  <w:style w:type="paragraph" w:customStyle="1" w:styleId="Verzeichnis">
    <w:name w:val="Verzeichnis"/>
    <w:basedOn w:val="Normln"/>
    <w:qFormat/>
    <w:pPr>
      <w:suppressLineNumbers/>
    </w:pPr>
    <w:rPr>
      <w:rFonts w:cs="Droid Sans Devanagari"/>
    </w:rPr>
  </w:style>
  <w:style w:type="paragraph" w:styleId="Nzev">
    <w:name w:val="Title"/>
    <w:basedOn w:val="Normln"/>
    <w:next w:val="Normln"/>
    <w:link w:val="NzevChar"/>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Citt">
    <w:name w:val="Quote"/>
    <w:basedOn w:val="Normln"/>
    <w:next w:val="Normln"/>
    <w:link w:val="CittChar"/>
    <w:qFormat/>
    <w:pPr>
      <w:spacing w:line="250" w:lineRule="exact"/>
      <w:ind w:left="794" w:right="794"/>
    </w:pPr>
    <w:rPr>
      <w:iCs/>
      <w:sz w:val="20"/>
    </w:rPr>
  </w:style>
  <w:style w:type="paragraph" w:styleId="Podnadpis">
    <w:name w:val="Subtitle"/>
    <w:basedOn w:val="Normln"/>
    <w:next w:val="Normln"/>
    <w:link w:val="PodnadpisChar"/>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Nzev"/>
    <w:qFormat/>
    <w:pPr>
      <w:spacing w:before="0" w:line="340" w:lineRule="exact"/>
    </w:pPr>
    <w:rPr>
      <w:b w:val="0"/>
      <w:color w:val="auto"/>
      <w:sz w:val="26"/>
    </w:rPr>
  </w:style>
  <w:style w:type="paragraph" w:styleId="Odstavecseseznamem">
    <w:name w:val="List Paragraph"/>
    <w:basedOn w:val="Normln"/>
    <w:qFormat/>
    <w:pPr>
      <w:tabs>
        <w:tab w:val="left" w:pos="0"/>
      </w:tabs>
      <w:ind w:left="284" w:hanging="284"/>
      <w:contextualSpacing/>
    </w:pPr>
  </w:style>
  <w:style w:type="paragraph" w:customStyle="1" w:styleId="Example">
    <w:name w:val="Example"/>
    <w:basedOn w:val="Normln"/>
    <w:qFormat/>
    <w:rsid w:val="00A54BA3"/>
    <w:pPr>
      <w:numPr>
        <w:numId w:val="3"/>
      </w:numPr>
      <w:spacing w:before="57" w:after="57" w:line="240" w:lineRule="exact"/>
      <w:ind w:left="454" w:hanging="454"/>
    </w:pPr>
    <w:rPr>
      <w:sz w:val="20"/>
    </w:rPr>
  </w:style>
  <w:style w:type="paragraph" w:customStyle="1" w:styleId="Kopf-undFuzeile">
    <w:name w:val="Kopf- und Fußzeile"/>
    <w:basedOn w:val="Normln"/>
    <w:qFormat/>
  </w:style>
  <w:style w:type="paragraph" w:styleId="Zhlav">
    <w:name w:val="header"/>
    <w:basedOn w:val="Normln"/>
    <w:link w:val="ZhlavChar"/>
    <w:pPr>
      <w:tabs>
        <w:tab w:val="center" w:pos="4536"/>
        <w:tab w:val="right" w:pos="9072"/>
      </w:tabs>
      <w:spacing w:before="0" w:line="240" w:lineRule="auto"/>
    </w:pPr>
  </w:style>
  <w:style w:type="paragraph" w:styleId="Zpat">
    <w:name w:val="footer"/>
    <w:basedOn w:val="Normln"/>
    <w:link w:val="ZpatChar"/>
    <w:pPr>
      <w:tabs>
        <w:tab w:val="center" w:pos="4536"/>
        <w:tab w:val="right" w:pos="9072"/>
      </w:tabs>
      <w:spacing w:before="0" w:line="240" w:lineRule="auto"/>
    </w:pPr>
  </w:style>
  <w:style w:type="paragraph" w:customStyle="1" w:styleId="FunoteFootnote">
    <w:name w:val="Fußnote/Footnote"/>
    <w:basedOn w:val="Textpoznpodarou"/>
    <w:qFormat/>
    <w:pPr>
      <w:tabs>
        <w:tab w:val="left" w:pos="283"/>
      </w:tabs>
      <w:spacing w:line="230" w:lineRule="atLeast"/>
      <w:ind w:left="284" w:hanging="284"/>
      <w:textAlignment w:val="center"/>
    </w:pPr>
    <w:rPr>
      <w:rFonts w:cs="Times New Roman"/>
    </w:rPr>
  </w:style>
  <w:style w:type="paragraph" w:styleId="Textpoznpodarou">
    <w:name w:val="footnote text"/>
    <w:basedOn w:val="Normln"/>
    <w:link w:val="TextpoznpodarouChar"/>
    <w:pPr>
      <w:spacing w:before="0" w:line="232" w:lineRule="exact"/>
      <w:ind w:left="283" w:hanging="283"/>
    </w:pPr>
    <w:rPr>
      <w:sz w:val="19"/>
      <w:szCs w:val="20"/>
    </w:rPr>
  </w:style>
  <w:style w:type="paragraph" w:customStyle="1" w:styleId="Keywords">
    <w:name w:val="Keywords"/>
    <w:basedOn w:val="Normln"/>
    <w:qFormat/>
    <w:rPr>
      <w:sz w:val="20"/>
    </w:rPr>
  </w:style>
  <w:style w:type="paragraph" w:styleId="Vrazncitt">
    <w:name w:val="Intense Quote"/>
    <w:basedOn w:val="Citt"/>
    <w:next w:val="Normln"/>
    <w:link w:val="VrazncittChar"/>
    <w:qFormat/>
    <w:rPr>
      <w:bCs/>
      <w:iCs w:val="0"/>
    </w:rPr>
  </w:style>
  <w:style w:type="paragraph" w:customStyle="1" w:styleId="ReferenceEntry">
    <w:name w:val="Reference Entry"/>
    <w:basedOn w:val="Normln"/>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Zkladntext"/>
    <w:qFormat/>
    <w:pPr>
      <w:spacing w:after="0"/>
      <w:ind w:left="283" w:hanging="283"/>
    </w:pPr>
  </w:style>
  <w:style w:type="paragraph" w:customStyle="1" w:styleId="Tabelleninhalt">
    <w:name w:val="Tabelleninhalt"/>
    <w:basedOn w:val="Normln"/>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Hlavikarejstku">
    <w:name w:val="index heading"/>
    <w:basedOn w:val="Nadpis1"/>
    <w:autoRedefine/>
  </w:style>
  <w:style w:type="paragraph" w:styleId="Seznamcitac">
    <w:name w:val="table of authorities"/>
    <w:basedOn w:val="Nadpis1"/>
    <w:autoRedefine/>
    <w:pPr>
      <w:suppressLineNumbers/>
    </w:pPr>
  </w:style>
  <w:style w:type="paragraph" w:styleId="Zvr">
    <w:name w:val="Closing"/>
    <w:basedOn w:val="berschrift"/>
    <w:next w:val="Zkladntext"/>
    <w:qFormat/>
    <w:pPr>
      <w:jc w:val="center"/>
    </w:pPr>
    <w:rPr>
      <w:bCs/>
      <w:szCs w:val="32"/>
    </w:rPr>
  </w:style>
  <w:style w:type="paragraph" w:styleId="Nadpisobsahu">
    <w:name w:val="TOC Heading"/>
    <w:basedOn w:val="Hlavikarejstku"/>
  </w:style>
  <w:style w:type="paragraph" w:customStyle="1" w:styleId="Abbildungsindexberschriften">
    <w:name w:val="Abbildungsindex Überschriften"/>
    <w:basedOn w:val="Hlavikarejstku"/>
    <w:qFormat/>
  </w:style>
  <w:style w:type="paragraph" w:customStyle="1" w:styleId="OLtext">
    <w:name w:val="OL text"/>
    <w:basedOn w:val="Normln"/>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Normln"/>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Normln"/>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Textbubliny">
    <w:name w:val="Balloon Text"/>
    <w:basedOn w:val="Normln"/>
    <w:link w:val="TextbublinyChar"/>
    <w:qFormat/>
    <w:pPr>
      <w:spacing w:before="0" w:line="240" w:lineRule="auto"/>
    </w:pPr>
    <w:rPr>
      <w:rFonts w:ascii="Tahoma" w:hAnsi="Tahoma"/>
      <w:sz w:val="16"/>
      <w:szCs w:val="16"/>
    </w:rPr>
  </w:style>
  <w:style w:type="character" w:styleId="Nevyeenzmnka">
    <w:name w:val="Unresolved Mention"/>
    <w:basedOn w:val="Standardnpsmoodstavce"/>
    <w:uiPriority w:val="99"/>
    <w:semiHidden/>
    <w:unhideWhenUsed/>
    <w:rsid w:val="003548B1"/>
    <w:rPr>
      <w:color w:val="605E5C"/>
      <w:shd w:val="clear" w:color="auto" w:fill="E1DFDD"/>
    </w:rPr>
  </w:style>
  <w:style w:type="paragraph" w:customStyle="1" w:styleId="Default">
    <w:name w:val="Default"/>
    <w:rsid w:val="00536431"/>
    <w:pPr>
      <w:suppressAutoHyphens w:val="0"/>
      <w:autoSpaceDE w:val="0"/>
      <w:autoSpaceDN w:val="0"/>
      <w:adjustRightInd w:val="0"/>
    </w:pPr>
    <w:rPr>
      <w:rFonts w:ascii="Times New Roman" w:eastAsiaTheme="minorHAnsi"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langsci-press.org/catalog/book/296"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hdl.handle.net/20.500.11956/117388"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lga.nadvornikova@ff.cuni.cz" TargetMode="External"/><Relationship Id="rId5" Type="http://schemas.openxmlformats.org/officeDocument/2006/relationships/footnotes" Target="footnotes.xml"/><Relationship Id="rId10" Type="http://schemas.openxmlformats.org/officeDocument/2006/relationships/hyperlink" Target="https://biblio.ugent.be/publication/8720139" TargetMode="External"/><Relationship Id="rId4" Type="http://schemas.openxmlformats.org/officeDocument/2006/relationships/webSettings" Target="webSettings.xml"/><Relationship Id="rId9" Type="http://schemas.openxmlformats.org/officeDocument/2006/relationships/hyperlink" Target="http://hdl.handle.net/2142/113888"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837</Words>
  <Characters>5428</Characters>
  <Application>Microsoft Office Word</Application>
  <DocSecurity>0</DocSecurity>
  <Lines>79</Lines>
  <Paragraphs>24</Paragraphs>
  <ScaleCrop>false</ScaleCrop>
  <HeadingPairs>
    <vt:vector size="4" baseType="variant">
      <vt:variant>
        <vt:lpstr>Název</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6241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Nadvornikova, Olga</cp:lastModifiedBy>
  <cp:revision>3</cp:revision>
  <cp:lastPrinted>2023-03-11T11:57:00Z</cp:lastPrinted>
  <dcterms:created xsi:type="dcterms:W3CDTF">2023-05-14T19:37:00Z</dcterms:created>
  <dcterms:modified xsi:type="dcterms:W3CDTF">2023-05-14T19:42:00Z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