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81E" w:rsidRDefault="008D1C10">
      <w:pPr>
        <w:pStyle w:val="Author"/>
      </w:pPr>
      <w:proofErr w:type="spellStart"/>
      <w:r>
        <w:t>Hsin</w:t>
      </w:r>
      <w:proofErr w:type="spellEnd"/>
      <w:r>
        <w:t>-Yi Lien</w:t>
      </w:r>
    </w:p>
    <w:p w:rsidR="00AB181E" w:rsidRDefault="00A21D39">
      <w:pPr>
        <w:pStyle w:val="a4"/>
      </w:pPr>
      <w:r w:rsidRPr="00597A87">
        <w:rPr>
          <w:rFonts w:hint="eastAsia"/>
        </w:rPr>
        <w:t>V</w:t>
      </w:r>
      <w:r w:rsidRPr="00597A87">
        <w:t xml:space="preserve">alidating Terminologies and Phraseological Units Retrieved from Specialized Comparable Corpora in Lexical Semantics: An Interactive Method  </w:t>
      </w:r>
    </w:p>
    <w:p w:rsidR="002F3040" w:rsidRDefault="00224AA6" w:rsidP="006523F7">
      <w:pPr>
        <w:pStyle w:val="Keywords"/>
        <w:jc w:val="left"/>
      </w:pPr>
      <w:r>
        <w:rPr>
          <w:b/>
          <w:szCs w:val="20"/>
        </w:rPr>
        <w:t>Keywords:</w:t>
      </w:r>
      <w:r w:rsidR="00A21D39" w:rsidRPr="00597A87">
        <w:t xml:space="preserve"> terminology</w:t>
      </w:r>
      <w:r w:rsidR="00A21D39">
        <w:t>;</w:t>
      </w:r>
      <w:r w:rsidR="00A21D39" w:rsidRPr="00597A87">
        <w:t xml:space="preserve"> phraseological units</w:t>
      </w:r>
      <w:r w:rsidR="00A21D39">
        <w:t>;</w:t>
      </w:r>
      <w:r w:rsidR="00A21D39" w:rsidRPr="00597A87">
        <w:t xml:space="preserve"> comparable corpora</w:t>
      </w:r>
      <w:r w:rsidR="00A21D39">
        <w:t>;</w:t>
      </w:r>
      <w:r w:rsidR="00A21D39" w:rsidRPr="00597A87">
        <w:t xml:space="preserve"> interactive method</w:t>
      </w:r>
      <w:r w:rsidR="00A21D39">
        <w:t>;</w:t>
      </w:r>
      <w:r w:rsidR="00A21D39" w:rsidRPr="00597A87">
        <w:t xml:space="preserve"> lexical semantics</w:t>
      </w:r>
    </w:p>
    <w:p w:rsidR="002F3040" w:rsidRDefault="002F3040" w:rsidP="002F3040">
      <w:pPr>
        <w:autoSpaceDE w:val="0"/>
        <w:autoSpaceDN w:val="0"/>
        <w:adjustRightInd w:val="0"/>
        <w:spacing w:line="276" w:lineRule="auto"/>
      </w:pPr>
      <w:r w:rsidRPr="00597A87">
        <w:rPr>
          <w:rFonts w:hint="eastAsia"/>
        </w:rPr>
        <w:t>T</w:t>
      </w:r>
      <w:r w:rsidRPr="00597A87">
        <w:t>he retrieve of terminology and phraseology from a monolingual corpus currently performed effectively by tools but extraction of keywords, terms, multi-word patterns, or collocations remain challenging, whether parallel or comparable corpora are utilized. Bilingual terminology extraction is generally conducted using either parallel corpora (</w:t>
      </w:r>
      <w:r w:rsidRPr="00597A87">
        <w:rPr>
          <w:rFonts w:hint="eastAsia"/>
        </w:rPr>
        <w:t>Ndhlovu, 2016</w:t>
      </w:r>
      <w:r w:rsidRPr="00597A87">
        <w:t>) or comparable corpora</w:t>
      </w:r>
      <w:r w:rsidRPr="00597A87">
        <w:rPr>
          <w:rFonts w:hint="eastAsia"/>
        </w:rPr>
        <w:t xml:space="preserve"> </w:t>
      </w:r>
      <w:r w:rsidRPr="00597A87">
        <w:t>(</w:t>
      </w:r>
      <w:proofErr w:type="spellStart"/>
      <w:r w:rsidRPr="00597A87">
        <w:rPr>
          <w:rFonts w:eastAsia="標楷體" w:hint="eastAsia"/>
        </w:rPr>
        <w:t>T</w:t>
      </w:r>
      <w:r w:rsidRPr="00597A87">
        <w:rPr>
          <w:rFonts w:eastAsia="標楷體"/>
        </w:rPr>
        <w:t>erryn</w:t>
      </w:r>
      <w:proofErr w:type="spellEnd"/>
      <w:r w:rsidRPr="00597A87">
        <w:rPr>
          <w:rFonts w:eastAsia="標楷體"/>
        </w:rPr>
        <w:t xml:space="preserve">, </w:t>
      </w:r>
      <w:proofErr w:type="spellStart"/>
      <w:r w:rsidRPr="00597A87">
        <w:rPr>
          <w:rFonts w:eastAsia="標楷體"/>
        </w:rPr>
        <w:t>Hoste</w:t>
      </w:r>
      <w:proofErr w:type="spellEnd"/>
      <w:r w:rsidRPr="00597A87">
        <w:rPr>
          <w:rFonts w:eastAsia="標楷體"/>
        </w:rPr>
        <w:t>, &amp; Lefever, 2020</w:t>
      </w:r>
      <w:r w:rsidRPr="00597A87">
        <w:t>), and most studies identify keywords, collocations, and terms using computational methods</w:t>
      </w:r>
      <w:r w:rsidRPr="00597A87">
        <w:rPr>
          <w:rFonts w:hint="eastAsia"/>
        </w:rPr>
        <w:t xml:space="preserve"> </w:t>
      </w:r>
      <w:r w:rsidRPr="00597A87">
        <w:t>(</w:t>
      </w:r>
      <w:proofErr w:type="spellStart"/>
      <w:r w:rsidRPr="00597A87">
        <w:rPr>
          <w:szCs w:val="20"/>
        </w:rPr>
        <w:t>Štajner</w:t>
      </w:r>
      <w:proofErr w:type="spellEnd"/>
      <w:r w:rsidRPr="00597A87">
        <w:rPr>
          <w:szCs w:val="20"/>
        </w:rPr>
        <w:t xml:space="preserve">, &amp; </w:t>
      </w:r>
      <w:proofErr w:type="spellStart"/>
      <w:r w:rsidRPr="00597A87">
        <w:rPr>
          <w:szCs w:val="20"/>
        </w:rPr>
        <w:t>Mladenić</w:t>
      </w:r>
      <w:proofErr w:type="spellEnd"/>
      <w:r w:rsidRPr="00597A87">
        <w:rPr>
          <w:szCs w:val="20"/>
        </w:rPr>
        <w:t>, 2019</w:t>
      </w:r>
      <w:r w:rsidRPr="00597A87">
        <w:t>). R</w:t>
      </w:r>
      <w:r w:rsidRPr="00597A87">
        <w:rPr>
          <w:rFonts w:hint="eastAsia"/>
        </w:rPr>
        <w:t>ecent works have demonstrated that comparable corp</w:t>
      </w:r>
      <w:r w:rsidRPr="00597A87">
        <w:t>ora</w:t>
      </w:r>
      <w:r w:rsidRPr="00597A87">
        <w:rPr>
          <w:rFonts w:hint="eastAsia"/>
        </w:rPr>
        <w:t xml:space="preserve"> </w:t>
      </w:r>
      <w:r w:rsidRPr="00597A87">
        <w:t>can be used in cases where parallel corpora is unavailable</w:t>
      </w:r>
      <w:r w:rsidRPr="00597A87">
        <w:rPr>
          <w:rFonts w:hint="eastAsia"/>
        </w:rPr>
        <w:t xml:space="preserve">. </w:t>
      </w:r>
      <w:r w:rsidRPr="00597A87">
        <w:t>Comparable corpora are significant, for they provide examples of attested usage in native-speaking contexts (</w:t>
      </w:r>
      <w:proofErr w:type="spellStart"/>
      <w:r w:rsidRPr="00597A87">
        <w:t>Giampieri</w:t>
      </w:r>
      <w:proofErr w:type="spellEnd"/>
      <w:r w:rsidRPr="00597A87">
        <w:t xml:space="preserve">, 2018). In addition to balanced comparable corpora, </w:t>
      </w:r>
      <w:r w:rsidRPr="00597A87">
        <w:rPr>
          <w:rFonts w:hint="eastAsia"/>
        </w:rPr>
        <w:t>M</w:t>
      </w:r>
      <w:r w:rsidRPr="00597A87">
        <w:t xml:space="preserve">orin and </w:t>
      </w:r>
      <w:proofErr w:type="spellStart"/>
      <w:r w:rsidRPr="00597A87">
        <w:t>Hasem</w:t>
      </w:r>
      <w:proofErr w:type="spellEnd"/>
      <w:r w:rsidRPr="00597A87">
        <w:t xml:space="preserve"> (2015) use</w:t>
      </w:r>
      <w:r w:rsidRPr="00597A87">
        <w:rPr>
          <w:rFonts w:hint="eastAsia"/>
        </w:rPr>
        <w:t>d</w:t>
      </w:r>
      <w:r w:rsidRPr="00597A87">
        <w:t xml:space="preserve"> unbalanced specialized comparable corpora to examine the quality of extracted bilingual terminology through a regression model which word co-occurrences in the context were observed. Their results show that the quality of retrieved lexicons is good by using unbalanced specialized comparable corpora. </w:t>
      </w:r>
      <w:r w:rsidRPr="00597A87">
        <w:rPr>
          <w:rFonts w:hint="eastAsia"/>
        </w:rPr>
        <w:t xml:space="preserve">Thus, the usability of comparable corpora in cross-language </w:t>
      </w:r>
      <w:r w:rsidRPr="00597A87">
        <w:t>information</w:t>
      </w:r>
      <w:r w:rsidRPr="00597A87">
        <w:rPr>
          <w:rFonts w:hint="eastAsia"/>
        </w:rPr>
        <w:t xml:space="preserve"> retrieval is applicable in extracting </w:t>
      </w:r>
      <w:r w:rsidRPr="00597A87">
        <w:t>bilingual</w:t>
      </w:r>
      <w:r w:rsidRPr="00597A87">
        <w:rPr>
          <w:rFonts w:hint="eastAsia"/>
        </w:rPr>
        <w:t xml:space="preserve"> </w:t>
      </w:r>
      <w:r w:rsidRPr="00597A87">
        <w:t>terminology</w:t>
      </w:r>
      <w:r w:rsidRPr="00597A87">
        <w:rPr>
          <w:rFonts w:hint="eastAsia"/>
        </w:rPr>
        <w:t>. Lien</w:t>
      </w:r>
      <w:r w:rsidRPr="00597A87">
        <w:t xml:space="preserve"> </w:t>
      </w:r>
      <w:r w:rsidRPr="00597A87">
        <w:rPr>
          <w:rFonts w:hint="eastAsia"/>
        </w:rPr>
        <w:t>(2018)</w:t>
      </w:r>
      <w:r w:rsidRPr="00597A87">
        <w:t xml:space="preserve"> compiled unbalanced Buddhist comparable corpora and generate the keyword lists and collocation lists by using n-gram function in </w:t>
      </w:r>
      <w:r w:rsidRPr="00597A87">
        <w:rPr>
          <w:i/>
        </w:rPr>
        <w:t>Sketch Engine</w:t>
      </w:r>
      <w:r w:rsidRPr="00597A87">
        <w:t xml:space="preserve"> and expert evaluation. </w:t>
      </w:r>
    </w:p>
    <w:p w:rsidR="002F3040" w:rsidRDefault="00A21D39" w:rsidP="006523F7">
      <w:pPr>
        <w:tabs>
          <w:tab w:val="left" w:pos="567"/>
        </w:tabs>
        <w:autoSpaceDE w:val="0"/>
        <w:autoSpaceDN w:val="0"/>
        <w:adjustRightInd w:val="0"/>
        <w:spacing w:before="240" w:line="276" w:lineRule="auto"/>
        <w:rPr>
          <w:rFonts w:eastAsia="標楷體" w:hAnsi="標楷體"/>
        </w:rPr>
      </w:pPr>
      <w:r w:rsidRPr="00597A87">
        <w:t>Most of the studies on extraction of bilingual terminology or lexical phrases employed mainly computational methods, such as word embeddings words combined with a kernel approximation (</w:t>
      </w:r>
      <w:proofErr w:type="spellStart"/>
      <w:r w:rsidRPr="00597A87">
        <w:rPr>
          <w:szCs w:val="20"/>
        </w:rPr>
        <w:t>Štajner</w:t>
      </w:r>
      <w:proofErr w:type="spellEnd"/>
      <w:r w:rsidRPr="00597A87">
        <w:rPr>
          <w:szCs w:val="20"/>
        </w:rPr>
        <w:t xml:space="preserve">, &amp; </w:t>
      </w:r>
      <w:proofErr w:type="spellStart"/>
      <w:r w:rsidRPr="00597A87">
        <w:rPr>
          <w:szCs w:val="20"/>
        </w:rPr>
        <w:t>Mladenić</w:t>
      </w:r>
      <w:proofErr w:type="spellEnd"/>
      <w:r w:rsidRPr="00597A87">
        <w:rPr>
          <w:szCs w:val="20"/>
        </w:rPr>
        <w:t xml:space="preserve"> 2019)</w:t>
      </w:r>
      <w:r w:rsidRPr="00597A87">
        <w:t>, STACC (</w:t>
      </w:r>
      <w:proofErr w:type="spellStart"/>
      <w:r w:rsidRPr="00597A87">
        <w:t>Azpeitia</w:t>
      </w:r>
      <w:proofErr w:type="spellEnd"/>
      <w:r w:rsidRPr="00597A87">
        <w:t xml:space="preserve">, </w:t>
      </w:r>
      <w:proofErr w:type="spellStart"/>
      <w:r w:rsidRPr="00597A87">
        <w:t>Etchegoyhen</w:t>
      </w:r>
      <w:proofErr w:type="spellEnd"/>
      <w:r w:rsidRPr="00597A87">
        <w:t xml:space="preserve">, &amp; Garcia 2018), and </w:t>
      </w:r>
      <w:r w:rsidRPr="00597A87">
        <w:rPr>
          <w:i/>
        </w:rPr>
        <w:t>Sketch Engine</w:t>
      </w:r>
      <w:r w:rsidRPr="00597A87">
        <w:t xml:space="preserve"> (Lien, 2018); however, the quality of obtained terminology or phraseological units in lexical semantic level was not evaluated in previous studies. </w:t>
      </w:r>
      <w:r w:rsidRPr="00597A87">
        <w:rPr>
          <w:rFonts w:hint="eastAsia"/>
        </w:rPr>
        <w:t>Accordingly, the present study intends to</w:t>
      </w:r>
      <w:r w:rsidRPr="00597A87">
        <w:t xml:space="preserve"> utilize an interactive method</w:t>
      </w:r>
      <w:r w:rsidRPr="00597A87">
        <w:rPr>
          <w:rFonts w:hint="eastAsia"/>
        </w:rPr>
        <w:t xml:space="preserve"> to evaluate suitability of those retrievals</w:t>
      </w:r>
      <w:r w:rsidRPr="00597A87">
        <w:t xml:space="preserve"> from specialized comparable corpora and to </w:t>
      </w:r>
      <w:proofErr w:type="spellStart"/>
      <w:r w:rsidRPr="00597A87">
        <w:t>analyze</w:t>
      </w:r>
      <w:proofErr w:type="spellEnd"/>
      <w:r w:rsidRPr="00597A87">
        <w:t xml:space="preserve"> the terms and phraseological units in lexical semantics</w:t>
      </w:r>
      <w:r w:rsidRPr="00597A87">
        <w:rPr>
          <w:rFonts w:hint="eastAsia"/>
        </w:rPr>
        <w:t xml:space="preserve">. </w:t>
      </w:r>
      <w:r w:rsidRPr="00597A87">
        <w:t>The specialized comparable corpora consisted of a Buddhist English Corpus and a Buddhist Chinese Corpus.</w:t>
      </w:r>
      <w:r w:rsidRPr="00597A87">
        <w:rPr>
          <w:rFonts w:eastAsia="標楷體" w:hAnsi="標楷體" w:hint="eastAsia"/>
        </w:rPr>
        <w:t xml:space="preserve"> The comparable corpora used in the present study </w:t>
      </w:r>
      <w:r w:rsidRPr="00597A87">
        <w:rPr>
          <w:rFonts w:eastAsia="標楷體" w:hAnsi="標楷體"/>
        </w:rPr>
        <w:t>we</w:t>
      </w:r>
      <w:r w:rsidRPr="00597A87">
        <w:rPr>
          <w:rFonts w:eastAsia="標楷體" w:hAnsi="標楷體" w:hint="eastAsia"/>
        </w:rPr>
        <w:t xml:space="preserve">re </w:t>
      </w:r>
      <w:r w:rsidRPr="00597A87">
        <w:rPr>
          <w:rFonts w:eastAsia="標楷體" w:hAnsi="標楷體"/>
        </w:rPr>
        <w:t xml:space="preserve">Buddhist </w:t>
      </w:r>
      <w:r w:rsidRPr="00597A87">
        <w:rPr>
          <w:rFonts w:eastAsia="標楷體" w:hAnsi="標楷體" w:hint="eastAsia"/>
        </w:rPr>
        <w:t>English Corpus (BEC) (Lien 2017)</w:t>
      </w:r>
      <w:r w:rsidRPr="00597A87">
        <w:rPr>
          <w:rFonts w:eastAsia="標楷體" w:hAnsi="標楷體" w:hint="eastAsia"/>
          <w:i/>
        </w:rPr>
        <w:t xml:space="preserve"> </w:t>
      </w:r>
      <w:r w:rsidRPr="00597A87">
        <w:rPr>
          <w:rFonts w:eastAsia="標楷體" w:hAnsi="標楷體" w:hint="eastAsia"/>
        </w:rPr>
        <w:t>and Buddhist Chinese Corpus (BCC) (Lien, 2018)</w:t>
      </w:r>
      <w:r w:rsidRPr="00597A87">
        <w:rPr>
          <w:rFonts w:eastAsia="標楷體" w:hAnsi="標楷體"/>
        </w:rPr>
        <w:t xml:space="preserve">. </w:t>
      </w:r>
      <w:r w:rsidRPr="00597A87">
        <w:rPr>
          <w:rFonts w:eastAsia="標楷體" w:hAnsi="標楷體" w:hint="eastAsia"/>
        </w:rPr>
        <w:t xml:space="preserve">The </w:t>
      </w:r>
      <w:r w:rsidRPr="00597A87">
        <w:rPr>
          <w:rFonts w:eastAsia="標楷體" w:hAnsi="標楷體" w:hint="eastAsia"/>
          <w:i/>
        </w:rPr>
        <w:t>BEC</w:t>
      </w:r>
      <w:r w:rsidRPr="00597A87">
        <w:rPr>
          <w:rFonts w:eastAsia="標楷體" w:hAnsi="標楷體" w:hint="eastAsia"/>
        </w:rPr>
        <w:t xml:space="preserve"> </w:t>
      </w:r>
      <w:r w:rsidRPr="00597A87">
        <w:rPr>
          <w:rFonts w:eastAsia="標楷體" w:hAnsi="標楷體"/>
        </w:rPr>
        <w:t xml:space="preserve">and </w:t>
      </w:r>
      <w:r w:rsidRPr="00597A87">
        <w:rPr>
          <w:rFonts w:eastAsia="標楷體" w:hAnsi="標楷體"/>
          <w:i/>
        </w:rPr>
        <w:t>BCC</w:t>
      </w:r>
      <w:r w:rsidRPr="00597A87">
        <w:rPr>
          <w:rFonts w:eastAsia="標楷體" w:hAnsi="標楷體"/>
        </w:rPr>
        <w:t xml:space="preserve"> </w:t>
      </w:r>
      <w:r w:rsidRPr="00597A87">
        <w:rPr>
          <w:rFonts w:eastAsia="標楷體"/>
        </w:rPr>
        <w:t xml:space="preserve">were both compiled from books, essays, e-books, articles and reviews. A total of </w:t>
      </w:r>
      <w:r w:rsidRPr="00597A87">
        <w:t xml:space="preserve">22,677,744 tokens were obtained in </w:t>
      </w:r>
      <w:r w:rsidRPr="00597A87">
        <w:rPr>
          <w:rFonts w:hint="eastAsia"/>
          <w:i/>
        </w:rPr>
        <w:t>BEC</w:t>
      </w:r>
      <w:r w:rsidRPr="00597A87">
        <w:t xml:space="preserve">. The corpus included four sub-corpora regarding to history (4,582,771), origins (2,161,005), beliefs (11,104,917), and arts (4,829,051). </w:t>
      </w:r>
      <w:r w:rsidRPr="00597A87">
        <w:rPr>
          <w:rFonts w:eastAsia="標楷體" w:hAnsi="標楷體" w:hint="eastAsia"/>
        </w:rPr>
        <w:t xml:space="preserve">The </w:t>
      </w:r>
      <w:r w:rsidRPr="00597A87">
        <w:rPr>
          <w:rFonts w:eastAsia="標楷體" w:hAnsi="標楷體" w:hint="eastAsia"/>
          <w:i/>
        </w:rPr>
        <w:t>BCC</w:t>
      </w:r>
      <w:r w:rsidRPr="00597A87">
        <w:rPr>
          <w:rFonts w:eastAsia="標楷體" w:hAnsi="標楷體" w:hint="eastAsia"/>
        </w:rPr>
        <w:t xml:space="preserve"> contained </w:t>
      </w:r>
      <w:r w:rsidRPr="00597A87">
        <w:t xml:space="preserve">20,318,513 </w:t>
      </w:r>
      <w:r w:rsidRPr="00597A87">
        <w:rPr>
          <w:rFonts w:eastAsia="標楷體" w:hAnsi="標楷體" w:hint="eastAsia"/>
        </w:rPr>
        <w:t xml:space="preserve">tokens </w:t>
      </w:r>
      <w:r w:rsidRPr="00597A87">
        <w:rPr>
          <w:rFonts w:eastAsia="標楷體" w:hAnsi="標楷體"/>
        </w:rPr>
        <w:t xml:space="preserve">which were obtained from publicly available texts. </w:t>
      </w:r>
      <w:r w:rsidRPr="00597A87">
        <w:rPr>
          <w:rFonts w:eastAsia="標楷體" w:hAnsi="標楷體"/>
        </w:rPr>
        <w:lastRenderedPageBreak/>
        <w:t>The four sub-corpora were Buddhist history (</w:t>
      </w:r>
      <w:r w:rsidRPr="00597A87">
        <w:t>7,764,086), origins (3,092,059), beliefs (6,687,199), and arts (2,775,169).</w:t>
      </w:r>
      <w:r w:rsidRPr="00597A87">
        <w:rPr>
          <w:rFonts w:eastAsia="標楷體" w:hAnsi="標楷體"/>
        </w:rPr>
        <w:t xml:space="preserve"> The </w:t>
      </w:r>
      <w:r w:rsidRPr="00597A87">
        <w:rPr>
          <w:rFonts w:eastAsia="標楷體" w:hAnsi="標楷體" w:hint="eastAsia"/>
        </w:rPr>
        <w:t xml:space="preserve">two </w:t>
      </w:r>
      <w:r w:rsidRPr="00597A87">
        <w:rPr>
          <w:rFonts w:eastAsia="標楷體" w:hAnsi="標楷體"/>
        </w:rPr>
        <w:t xml:space="preserve">corpora were unbalanced specialized comparable. </w:t>
      </w:r>
    </w:p>
    <w:p w:rsidR="002F3040" w:rsidRDefault="00A21D39" w:rsidP="006523F7">
      <w:pPr>
        <w:tabs>
          <w:tab w:val="left" w:pos="567"/>
        </w:tabs>
        <w:autoSpaceDE w:val="0"/>
        <w:autoSpaceDN w:val="0"/>
        <w:adjustRightInd w:val="0"/>
        <w:spacing w:before="240" w:line="276" w:lineRule="auto"/>
      </w:pPr>
      <w:r w:rsidRPr="00597A87">
        <w:rPr>
          <w:rFonts w:eastAsia="標楷體" w:hAnsi="標楷體" w:hint="eastAsia"/>
        </w:rPr>
        <w:t>The text files were converted to plain text (.txt) for further analysis.</w:t>
      </w:r>
      <w:r w:rsidRPr="00597A87">
        <w:t xml:space="preserve"> The methods of extracting terminologies from comparable corpora in previous studies were inclined to employ statistical machine translation or computational analysis. However, it was apparently insufficient for ensuring semantic level of obtained terms (Lien, 2022; </w:t>
      </w:r>
      <w:proofErr w:type="spellStart"/>
      <w:r w:rsidRPr="00597A87">
        <w:rPr>
          <w:rFonts w:hint="eastAsia"/>
        </w:rPr>
        <w:t>Tongpoon-Patanasorn</w:t>
      </w:r>
      <w:proofErr w:type="spellEnd"/>
      <w:r w:rsidRPr="00597A87">
        <w:t xml:space="preserve">, </w:t>
      </w:r>
      <w:r w:rsidRPr="00597A87">
        <w:rPr>
          <w:rFonts w:hint="eastAsia"/>
        </w:rPr>
        <w:t>2018</w:t>
      </w:r>
      <w:r w:rsidRPr="00597A87">
        <w:t xml:space="preserve">). Accordingly, the present study applied an interactive method for cross validation of the quality of retrieved terms. The proposed method included filtering the terms with criteria, validating terms with different references sources (google search engine, English dictionaries, Chinese dictionaries, </w:t>
      </w:r>
      <w:proofErr w:type="spellStart"/>
      <w:r w:rsidRPr="00597A87">
        <w:t>Pali</w:t>
      </w:r>
      <w:proofErr w:type="spellEnd"/>
      <w:r w:rsidRPr="00597A87">
        <w:t xml:space="preserve"> dictionaries), implementing various statistical measures (absolute frequency, LL, OR) for ensuring the distinctness of obtained terms, and machine translation for comparison of terminology and phraseological units. Moreover, the distinct terminologies and phraseological units extracted </w:t>
      </w:r>
      <w:r w:rsidRPr="00597A87">
        <w:rPr>
          <w:rFonts w:hint="eastAsia"/>
        </w:rPr>
        <w:t>f</w:t>
      </w:r>
      <w:r w:rsidRPr="00597A87">
        <w:t xml:space="preserve">rom specialized Buddhist comparable corpora were examined in lexical semantics. The change of trend in Eastern and Western Buddhist literature were explored through comparing the extracted terms and phraseological units from the Buddhist comparable corpora. Mutual information (MI) were utilized to attain collocates of key clusters which had the highest </w:t>
      </w:r>
      <w:proofErr w:type="spellStart"/>
      <w:r w:rsidRPr="00597A87">
        <w:t>keyness</w:t>
      </w:r>
      <w:proofErr w:type="spellEnd"/>
      <w:r w:rsidRPr="00597A87">
        <w:t xml:space="preserve"> values in their semantic functions occurring in the </w:t>
      </w:r>
      <w:r w:rsidRPr="00597A87">
        <w:rPr>
          <w:i/>
        </w:rPr>
        <w:t>B</w:t>
      </w:r>
      <w:r w:rsidRPr="00597A87">
        <w:rPr>
          <w:rFonts w:hint="eastAsia"/>
          <w:i/>
        </w:rPr>
        <w:t>C</w:t>
      </w:r>
      <w:r w:rsidRPr="00597A87">
        <w:rPr>
          <w:i/>
        </w:rPr>
        <w:t>C</w:t>
      </w:r>
      <w:r w:rsidRPr="00597A87">
        <w:t>. The researchers indicated it was a more suitable span for verbs and their collocates in text is (0,</w:t>
      </w:r>
      <w:r w:rsidRPr="00597A87">
        <w:rPr>
          <w:rFonts w:hint="eastAsia"/>
        </w:rPr>
        <w:t xml:space="preserve"> </w:t>
      </w:r>
      <w:r w:rsidRPr="00597A87">
        <w:t>+5) as it covers most of the high-frequency collocations</w:t>
      </w:r>
      <w:r w:rsidRPr="00597A87">
        <w:rPr>
          <w:rFonts w:hint="eastAsia"/>
        </w:rPr>
        <w:t xml:space="preserve"> (</w:t>
      </w:r>
      <w:r w:rsidRPr="00597A87">
        <w:t xml:space="preserve">Bai </w:t>
      </w:r>
      <w:r w:rsidRPr="00597A87">
        <w:rPr>
          <w:rFonts w:hint="eastAsia"/>
        </w:rPr>
        <w:t xml:space="preserve">&amp; Zheng, </w:t>
      </w:r>
      <w:r w:rsidRPr="00597A87">
        <w:t>2004;</w:t>
      </w:r>
      <w:r w:rsidRPr="00597A87">
        <w:rPr>
          <w:rFonts w:hint="eastAsia"/>
        </w:rPr>
        <w:t xml:space="preserve"> Li &amp; Guo, 2016</w:t>
      </w:r>
      <w:r w:rsidRPr="00597A87">
        <w:t xml:space="preserve">). </w:t>
      </w:r>
      <w:r w:rsidRPr="00597A87">
        <w:rPr>
          <w:rFonts w:hint="eastAsia"/>
        </w:rPr>
        <w:t>The n-gram function in Sketch Engine w</w:t>
      </w:r>
      <w:r w:rsidRPr="00597A87">
        <w:t>ere</w:t>
      </w:r>
      <w:r w:rsidRPr="00597A87">
        <w:rPr>
          <w:rFonts w:hint="eastAsia"/>
        </w:rPr>
        <w:t xml:space="preserve"> used to generate collocation list. Therefore, in the present study, </w:t>
      </w:r>
      <w:r w:rsidRPr="00597A87">
        <w:t xml:space="preserve">a collocation was defined as a single word co-occurring in the span of ± 5 words from the reference word, co-occurring at least five times in total across at least five different texts with a MI score of at least 3 and a t-score of at least 2. </w:t>
      </w:r>
    </w:p>
    <w:p w:rsidR="00A21D39" w:rsidRPr="002F3040" w:rsidRDefault="00A21D39" w:rsidP="006523F7">
      <w:pPr>
        <w:tabs>
          <w:tab w:val="left" w:pos="567"/>
        </w:tabs>
        <w:autoSpaceDE w:val="0"/>
        <w:autoSpaceDN w:val="0"/>
        <w:adjustRightInd w:val="0"/>
        <w:spacing w:before="240" w:line="276" w:lineRule="auto"/>
        <w:rPr>
          <w:rFonts w:hint="eastAsia"/>
        </w:rPr>
      </w:pPr>
      <w:r w:rsidRPr="00597A87">
        <w:t xml:space="preserve">After the computational analysis was done, the manual review was used and those phraseological units which are not specific will be removed. </w:t>
      </w:r>
      <w:r w:rsidRPr="00597A87">
        <w:rPr>
          <w:rFonts w:eastAsia="標楷體" w:hint="eastAsia"/>
        </w:rPr>
        <w:t>T</w:t>
      </w:r>
      <w:r w:rsidRPr="00597A87">
        <w:rPr>
          <w:rFonts w:eastAsia="標楷體"/>
        </w:rPr>
        <w:t xml:space="preserve">o collocate the phraseological units retrieved from two corpora, the phraseological units extracted from BEC were translated into Chinese by </w:t>
      </w:r>
      <w:r w:rsidRPr="00597A87">
        <w:t xml:space="preserve">using different reference sources: google search engine, English dictionaries, Chinese dictionaries, Pali dictionaries, </w:t>
      </w:r>
      <w:r w:rsidRPr="00597A87">
        <w:rPr>
          <w:rFonts w:hint="eastAsia"/>
          <w:i/>
        </w:rPr>
        <w:t>Princeton Dictionary of Buddhism</w:t>
      </w:r>
      <w:r w:rsidRPr="00597A87">
        <w:rPr>
          <w:rFonts w:hint="eastAsia"/>
        </w:rPr>
        <w:t xml:space="preserve"> (</w:t>
      </w:r>
      <w:proofErr w:type="spellStart"/>
      <w:r w:rsidRPr="00597A87">
        <w:rPr>
          <w:rFonts w:hint="eastAsia"/>
        </w:rPr>
        <w:t>Buswell</w:t>
      </w:r>
      <w:proofErr w:type="spellEnd"/>
      <w:r w:rsidRPr="00597A87">
        <w:t xml:space="preserve"> &amp;</w:t>
      </w:r>
      <w:r w:rsidRPr="00597A87">
        <w:rPr>
          <w:rFonts w:hint="eastAsia"/>
        </w:rPr>
        <w:t xml:space="preserve"> Lopez, 2014)</w:t>
      </w:r>
      <w:r w:rsidRPr="00597A87">
        <w:t xml:space="preserve">, </w:t>
      </w:r>
      <w:r w:rsidRPr="00597A87">
        <w:rPr>
          <w:rFonts w:hint="eastAsia"/>
          <w:i/>
        </w:rPr>
        <w:t>Digital Dictionary of Buddhism</w:t>
      </w:r>
      <w:r w:rsidRPr="00597A87">
        <w:rPr>
          <w:rFonts w:hint="eastAsia"/>
        </w:rPr>
        <w:t xml:space="preserve"> (Muller, 2015)</w:t>
      </w:r>
      <w:r w:rsidRPr="00597A87">
        <w:rPr>
          <w:rFonts w:eastAsia="標楷體"/>
        </w:rPr>
        <w:t xml:space="preserve">. Some specific obtained phraseological units which may be Hindi or </w:t>
      </w:r>
      <w:proofErr w:type="spellStart"/>
      <w:r w:rsidRPr="00597A87">
        <w:rPr>
          <w:rFonts w:eastAsia="標楷體"/>
        </w:rPr>
        <w:t>Pali</w:t>
      </w:r>
      <w:proofErr w:type="spellEnd"/>
      <w:r w:rsidRPr="00597A87">
        <w:rPr>
          <w:rFonts w:eastAsia="標楷體"/>
        </w:rPr>
        <w:t>, such as “calm abiding” which was a collocation appearing in BEC. It is “</w:t>
      </w:r>
      <w:proofErr w:type="spellStart"/>
      <w:r w:rsidRPr="00597A87">
        <w:rPr>
          <w:rFonts w:eastAsia="標楷體"/>
        </w:rPr>
        <w:t>shamatha</w:t>
      </w:r>
      <w:proofErr w:type="spellEnd"/>
      <w:r w:rsidRPr="00597A87">
        <w:rPr>
          <w:rFonts w:eastAsia="標楷體"/>
        </w:rPr>
        <w:t xml:space="preserve">” in </w:t>
      </w:r>
      <w:proofErr w:type="spellStart"/>
      <w:r w:rsidRPr="00597A87">
        <w:rPr>
          <w:rFonts w:eastAsia="標楷體"/>
        </w:rPr>
        <w:t>Pali</w:t>
      </w:r>
      <w:proofErr w:type="spellEnd"/>
      <w:r w:rsidRPr="00597A87">
        <w:rPr>
          <w:rFonts w:eastAsia="標楷體"/>
        </w:rPr>
        <w:t xml:space="preserve"> and Chinese translation is “stillness”. The occurrence of those specific phraseological unit</w:t>
      </w:r>
      <w:r w:rsidRPr="00597A87">
        <w:rPr>
          <w:rFonts w:eastAsia="標楷體" w:hint="eastAsia"/>
        </w:rPr>
        <w:t>s</w:t>
      </w:r>
      <w:r w:rsidRPr="00597A87">
        <w:rPr>
          <w:rFonts w:eastAsia="標楷體"/>
        </w:rPr>
        <w:t xml:space="preserve"> in two lists were compared and </w:t>
      </w:r>
      <w:proofErr w:type="spellStart"/>
      <w:r w:rsidRPr="00597A87">
        <w:rPr>
          <w:rFonts w:eastAsia="標楷體"/>
        </w:rPr>
        <w:t>analyzed</w:t>
      </w:r>
      <w:proofErr w:type="spellEnd"/>
      <w:r w:rsidRPr="00597A87">
        <w:rPr>
          <w:rFonts w:eastAsia="標楷體"/>
        </w:rPr>
        <w:t xml:space="preserve"> in cultural perspectives. </w:t>
      </w:r>
    </w:p>
    <w:p w:rsidR="00E856DF" w:rsidRDefault="00E856DF" w:rsidP="00A21D39">
      <w:pPr>
        <w:spacing w:line="276" w:lineRule="auto"/>
      </w:pPr>
    </w:p>
    <w:p w:rsidR="00E856DF" w:rsidRDefault="00E856DF" w:rsidP="00A21D39">
      <w:pPr>
        <w:spacing w:line="276" w:lineRule="auto"/>
      </w:pPr>
    </w:p>
    <w:p w:rsidR="00A21D39" w:rsidRPr="00597A87" w:rsidRDefault="00A21D39" w:rsidP="00A21D39">
      <w:pPr>
        <w:spacing w:line="276" w:lineRule="auto"/>
        <w:rPr>
          <w:rFonts w:hint="eastAsia"/>
        </w:rPr>
      </w:pPr>
      <w:bookmarkStart w:id="0" w:name="_GoBack"/>
      <w:bookmarkEnd w:id="0"/>
      <w:r w:rsidRPr="00597A87">
        <w:rPr>
          <w:rFonts w:hint="eastAsia"/>
        </w:rPr>
        <w:t xml:space="preserve"> </w:t>
      </w:r>
    </w:p>
    <w:p w:rsidR="00AB181E" w:rsidRDefault="00224AA6" w:rsidP="00A21D39">
      <w:pPr>
        <w:pStyle w:val="aff"/>
      </w:pPr>
      <w:r>
        <w:lastRenderedPageBreak/>
        <w:t>References</w:t>
      </w:r>
    </w:p>
    <w:p w:rsidR="00F1436A" w:rsidRDefault="00A21D39" w:rsidP="006523F7">
      <w:pPr>
        <w:spacing w:before="100" w:beforeAutospacing="1" w:after="100" w:afterAutospacing="1" w:line="240" w:lineRule="auto"/>
        <w:contextualSpacing/>
        <w:rPr>
          <w:sz w:val="19"/>
          <w:szCs w:val="19"/>
        </w:rPr>
      </w:pPr>
      <w:proofErr w:type="spellStart"/>
      <w:r w:rsidRPr="006523F7">
        <w:rPr>
          <w:sz w:val="19"/>
          <w:szCs w:val="19"/>
        </w:rPr>
        <w:t>Azpeitia</w:t>
      </w:r>
      <w:proofErr w:type="spellEnd"/>
      <w:r w:rsidRPr="006523F7">
        <w:rPr>
          <w:sz w:val="19"/>
          <w:szCs w:val="19"/>
        </w:rPr>
        <w:t>, A.</w:t>
      </w:r>
      <w:r w:rsidR="00310E42">
        <w:rPr>
          <w:sz w:val="19"/>
          <w:szCs w:val="19"/>
        </w:rPr>
        <w:t>/</w:t>
      </w:r>
      <w:proofErr w:type="spellStart"/>
      <w:r w:rsidRPr="006523F7">
        <w:rPr>
          <w:rFonts w:hint="eastAsia"/>
          <w:sz w:val="19"/>
          <w:szCs w:val="19"/>
        </w:rPr>
        <w:t>E</w:t>
      </w:r>
      <w:r w:rsidRPr="006523F7">
        <w:rPr>
          <w:sz w:val="19"/>
          <w:szCs w:val="19"/>
        </w:rPr>
        <w:t>tchegoyhen</w:t>
      </w:r>
      <w:proofErr w:type="spellEnd"/>
      <w:r w:rsidRPr="006523F7">
        <w:rPr>
          <w:sz w:val="19"/>
          <w:szCs w:val="19"/>
        </w:rPr>
        <w:t>, T.</w:t>
      </w:r>
      <w:r w:rsidR="00F1436A">
        <w:rPr>
          <w:sz w:val="19"/>
          <w:szCs w:val="19"/>
        </w:rPr>
        <w:t>/</w:t>
      </w:r>
      <w:r w:rsidRPr="006523F7">
        <w:rPr>
          <w:sz w:val="19"/>
          <w:szCs w:val="19"/>
        </w:rPr>
        <w:t>Garcia, E. M. (2018)</w:t>
      </w:r>
      <w:r w:rsidR="00F1436A">
        <w:rPr>
          <w:sz w:val="19"/>
          <w:szCs w:val="19"/>
        </w:rPr>
        <w:t xml:space="preserve">: </w:t>
      </w:r>
      <w:r w:rsidRPr="006523F7">
        <w:rPr>
          <w:sz w:val="19"/>
          <w:szCs w:val="19"/>
        </w:rPr>
        <w:t xml:space="preserve">Extracting parallel sentences from comparable corpora </w:t>
      </w:r>
      <w:r w:rsidR="006523F7">
        <w:rPr>
          <w:sz w:val="19"/>
          <w:szCs w:val="19"/>
        </w:rPr>
        <w:tab/>
      </w:r>
      <w:r w:rsidRPr="006523F7">
        <w:rPr>
          <w:sz w:val="19"/>
          <w:szCs w:val="19"/>
        </w:rPr>
        <w:t>with STACC variants. Proceedings of the 11</w:t>
      </w:r>
      <w:r w:rsidRPr="006523F7">
        <w:rPr>
          <w:sz w:val="19"/>
          <w:szCs w:val="19"/>
          <w:vertAlign w:val="superscript"/>
        </w:rPr>
        <w:t>th</w:t>
      </w:r>
      <w:r w:rsidRPr="006523F7">
        <w:rPr>
          <w:sz w:val="19"/>
          <w:szCs w:val="19"/>
        </w:rPr>
        <w:t xml:space="preserve"> Workshop on Building and Using Comparable </w:t>
      </w:r>
    </w:p>
    <w:p w:rsidR="00A21D39" w:rsidRPr="006523F7" w:rsidRDefault="00F1436A" w:rsidP="006523F7">
      <w:pPr>
        <w:spacing w:before="100" w:beforeAutospacing="1" w:after="100" w:afterAutospacing="1" w:line="240" w:lineRule="auto"/>
        <w:contextualSpacing/>
        <w:rPr>
          <w:sz w:val="19"/>
          <w:szCs w:val="19"/>
        </w:rPr>
      </w:pPr>
      <w:r>
        <w:rPr>
          <w:sz w:val="19"/>
          <w:szCs w:val="19"/>
        </w:rPr>
        <w:tab/>
      </w:r>
      <w:r w:rsidR="00A21D39" w:rsidRPr="006523F7">
        <w:rPr>
          <w:sz w:val="19"/>
          <w:szCs w:val="19"/>
        </w:rPr>
        <w:t>Corpora at LREC 2018,</w:t>
      </w:r>
      <w:r>
        <w:rPr>
          <w:sz w:val="19"/>
          <w:szCs w:val="19"/>
        </w:rPr>
        <w:t xml:space="preserve"> pp.</w:t>
      </w:r>
      <w:r w:rsidR="00A21D39" w:rsidRPr="006523F7">
        <w:rPr>
          <w:sz w:val="19"/>
          <w:szCs w:val="19"/>
        </w:rPr>
        <w:t xml:space="preserve"> 48-52. </w:t>
      </w:r>
    </w:p>
    <w:p w:rsidR="00FC4654" w:rsidRPr="006523F7" w:rsidRDefault="00FC4654" w:rsidP="006523F7">
      <w:pPr>
        <w:spacing w:before="0" w:line="240" w:lineRule="auto"/>
        <w:rPr>
          <w:sz w:val="19"/>
          <w:szCs w:val="19"/>
        </w:rPr>
      </w:pPr>
      <w:proofErr w:type="spellStart"/>
      <w:r w:rsidRPr="006523F7">
        <w:rPr>
          <w:rFonts w:hint="eastAsia"/>
          <w:sz w:val="19"/>
          <w:szCs w:val="19"/>
        </w:rPr>
        <w:t>Buswell</w:t>
      </w:r>
      <w:proofErr w:type="spellEnd"/>
      <w:r w:rsidRPr="006523F7">
        <w:rPr>
          <w:rFonts w:hint="eastAsia"/>
          <w:sz w:val="19"/>
          <w:szCs w:val="19"/>
        </w:rPr>
        <w:t xml:space="preserve"> Jr., R. E.</w:t>
      </w:r>
      <w:r w:rsidR="00F1436A">
        <w:rPr>
          <w:sz w:val="19"/>
          <w:szCs w:val="19"/>
        </w:rPr>
        <w:t>/</w:t>
      </w:r>
      <w:r w:rsidRPr="006523F7">
        <w:rPr>
          <w:rFonts w:hint="eastAsia"/>
          <w:sz w:val="19"/>
          <w:szCs w:val="19"/>
        </w:rPr>
        <w:t>Lopez Jr.</w:t>
      </w:r>
      <w:r w:rsidR="00F1436A">
        <w:rPr>
          <w:sz w:val="19"/>
          <w:szCs w:val="19"/>
        </w:rPr>
        <w:t>,</w:t>
      </w:r>
      <w:r w:rsidRPr="006523F7">
        <w:rPr>
          <w:rFonts w:hint="eastAsia"/>
          <w:sz w:val="19"/>
          <w:szCs w:val="19"/>
        </w:rPr>
        <w:t xml:space="preserve"> D. S. (2014)</w:t>
      </w:r>
      <w:r w:rsidR="00F1436A">
        <w:rPr>
          <w:sz w:val="19"/>
          <w:szCs w:val="19"/>
        </w:rPr>
        <w:t>:</w:t>
      </w:r>
      <w:r w:rsidRPr="006523F7">
        <w:rPr>
          <w:rFonts w:hint="eastAsia"/>
          <w:sz w:val="19"/>
          <w:szCs w:val="19"/>
        </w:rPr>
        <w:t xml:space="preserve"> The Princeton Dictionary of Buddhism. Princeton &amp; Oxford: Prince</w:t>
      </w:r>
      <w:r w:rsidR="006523F7">
        <w:rPr>
          <w:sz w:val="19"/>
          <w:szCs w:val="19"/>
        </w:rPr>
        <w:tab/>
      </w:r>
      <w:r w:rsidRPr="006523F7">
        <w:rPr>
          <w:rFonts w:hint="eastAsia"/>
          <w:sz w:val="19"/>
          <w:szCs w:val="19"/>
        </w:rPr>
        <w:t xml:space="preserve">ton University Press. </w:t>
      </w:r>
    </w:p>
    <w:p w:rsidR="00FC4654" w:rsidRPr="006523F7" w:rsidRDefault="00FC4654" w:rsidP="006523F7">
      <w:pPr>
        <w:spacing w:before="100" w:beforeAutospacing="1" w:after="100" w:afterAutospacing="1" w:line="240" w:lineRule="auto"/>
        <w:contextualSpacing/>
        <w:rPr>
          <w:sz w:val="19"/>
          <w:szCs w:val="19"/>
        </w:rPr>
      </w:pPr>
      <w:r w:rsidRPr="006523F7">
        <w:rPr>
          <w:rFonts w:hint="eastAsia"/>
          <w:sz w:val="19"/>
          <w:szCs w:val="19"/>
        </w:rPr>
        <w:t>Bai, M.</w:t>
      </w:r>
      <w:r w:rsidR="00F1436A">
        <w:rPr>
          <w:sz w:val="19"/>
          <w:szCs w:val="19"/>
        </w:rPr>
        <w:t>/</w:t>
      </w:r>
      <w:r w:rsidRPr="006523F7">
        <w:rPr>
          <w:rFonts w:hint="eastAsia"/>
          <w:sz w:val="19"/>
          <w:szCs w:val="19"/>
        </w:rPr>
        <w:t>Zheng, J. (2004)</w:t>
      </w:r>
      <w:r w:rsidR="00F1436A">
        <w:rPr>
          <w:sz w:val="19"/>
          <w:szCs w:val="19"/>
        </w:rPr>
        <w:t xml:space="preserve">: </w:t>
      </w:r>
      <w:r w:rsidRPr="006523F7">
        <w:rPr>
          <w:rFonts w:hint="eastAsia"/>
          <w:sz w:val="19"/>
          <w:szCs w:val="19"/>
        </w:rPr>
        <w:t xml:space="preserve">Study on ways of verb-verb collocation. Computer Engineering and Applications, </w:t>
      </w:r>
      <w:r w:rsidR="006523F7">
        <w:rPr>
          <w:sz w:val="19"/>
          <w:szCs w:val="19"/>
        </w:rPr>
        <w:tab/>
      </w:r>
      <w:r w:rsidRPr="006523F7">
        <w:rPr>
          <w:rFonts w:hint="eastAsia"/>
          <w:sz w:val="19"/>
          <w:szCs w:val="19"/>
        </w:rPr>
        <w:t xml:space="preserve">27, </w:t>
      </w:r>
      <w:r w:rsidR="00F1436A">
        <w:rPr>
          <w:sz w:val="19"/>
          <w:szCs w:val="19"/>
        </w:rPr>
        <w:t xml:space="preserve">pp. </w:t>
      </w:r>
      <w:r w:rsidRPr="006523F7">
        <w:rPr>
          <w:rFonts w:hint="eastAsia"/>
          <w:sz w:val="19"/>
          <w:szCs w:val="19"/>
        </w:rPr>
        <w:t xml:space="preserve">70-72. </w:t>
      </w:r>
    </w:p>
    <w:p w:rsidR="002F3040" w:rsidRPr="006523F7" w:rsidRDefault="002F3040" w:rsidP="006523F7">
      <w:pPr>
        <w:spacing w:line="240" w:lineRule="auto"/>
        <w:rPr>
          <w:sz w:val="19"/>
          <w:szCs w:val="19"/>
        </w:rPr>
      </w:pPr>
      <w:proofErr w:type="spellStart"/>
      <w:r w:rsidRPr="006523F7">
        <w:rPr>
          <w:rFonts w:hint="eastAsia"/>
          <w:sz w:val="19"/>
          <w:szCs w:val="19"/>
        </w:rPr>
        <w:t>G</w:t>
      </w:r>
      <w:r w:rsidRPr="006523F7">
        <w:rPr>
          <w:sz w:val="19"/>
          <w:szCs w:val="19"/>
        </w:rPr>
        <w:t>iampieri</w:t>
      </w:r>
      <w:proofErr w:type="spellEnd"/>
      <w:r w:rsidRPr="006523F7">
        <w:rPr>
          <w:sz w:val="19"/>
          <w:szCs w:val="19"/>
        </w:rPr>
        <w:t>, P. (2018)</w:t>
      </w:r>
      <w:r w:rsidR="00F1436A">
        <w:rPr>
          <w:sz w:val="19"/>
          <w:szCs w:val="19"/>
        </w:rPr>
        <w:t>:</w:t>
      </w:r>
      <w:r w:rsidRPr="006523F7">
        <w:rPr>
          <w:sz w:val="19"/>
          <w:szCs w:val="19"/>
        </w:rPr>
        <w:t xml:space="preserve"> Online parallel and comparable corpora for legal translation. </w:t>
      </w:r>
      <w:proofErr w:type="spellStart"/>
      <w:r w:rsidRPr="006523F7">
        <w:rPr>
          <w:sz w:val="19"/>
          <w:szCs w:val="19"/>
        </w:rPr>
        <w:t>Altre</w:t>
      </w:r>
      <w:proofErr w:type="spellEnd"/>
      <w:r w:rsidRPr="006523F7">
        <w:rPr>
          <w:sz w:val="19"/>
          <w:szCs w:val="19"/>
        </w:rPr>
        <w:t xml:space="preserve"> </w:t>
      </w:r>
      <w:proofErr w:type="spellStart"/>
      <w:r w:rsidRPr="006523F7">
        <w:rPr>
          <w:sz w:val="19"/>
          <w:szCs w:val="19"/>
        </w:rPr>
        <w:t>Modernita-Rivista</w:t>
      </w:r>
      <w:proofErr w:type="spellEnd"/>
      <w:r w:rsidRPr="006523F7">
        <w:rPr>
          <w:sz w:val="19"/>
          <w:szCs w:val="19"/>
        </w:rPr>
        <w:t xml:space="preserve"> </w:t>
      </w:r>
      <w:r w:rsidRPr="006523F7">
        <w:rPr>
          <w:sz w:val="19"/>
          <w:szCs w:val="19"/>
        </w:rPr>
        <w:tab/>
        <w:t xml:space="preserve">Di </w:t>
      </w:r>
      <w:proofErr w:type="spellStart"/>
      <w:r w:rsidRPr="006523F7">
        <w:rPr>
          <w:sz w:val="19"/>
          <w:szCs w:val="19"/>
        </w:rPr>
        <w:t>Studi</w:t>
      </w:r>
      <w:proofErr w:type="spellEnd"/>
      <w:r w:rsidRPr="006523F7">
        <w:rPr>
          <w:sz w:val="19"/>
          <w:szCs w:val="19"/>
        </w:rPr>
        <w:t xml:space="preserve"> </w:t>
      </w:r>
      <w:proofErr w:type="spellStart"/>
      <w:r w:rsidRPr="006523F7">
        <w:rPr>
          <w:sz w:val="19"/>
          <w:szCs w:val="19"/>
        </w:rPr>
        <w:t>Letterari</w:t>
      </w:r>
      <w:proofErr w:type="spellEnd"/>
      <w:r w:rsidRPr="006523F7">
        <w:rPr>
          <w:sz w:val="19"/>
          <w:szCs w:val="19"/>
        </w:rPr>
        <w:t xml:space="preserve"> E </w:t>
      </w:r>
      <w:proofErr w:type="spellStart"/>
      <w:r w:rsidRPr="006523F7">
        <w:rPr>
          <w:sz w:val="19"/>
          <w:szCs w:val="19"/>
        </w:rPr>
        <w:t>Culturali</w:t>
      </w:r>
      <w:proofErr w:type="spellEnd"/>
      <w:r w:rsidRPr="006523F7">
        <w:rPr>
          <w:sz w:val="19"/>
          <w:szCs w:val="19"/>
        </w:rPr>
        <w:t xml:space="preserve">, 20, </w:t>
      </w:r>
      <w:r w:rsidR="00F1436A">
        <w:rPr>
          <w:sz w:val="19"/>
          <w:szCs w:val="19"/>
        </w:rPr>
        <w:t xml:space="preserve">pp. </w:t>
      </w:r>
      <w:r w:rsidRPr="006523F7">
        <w:rPr>
          <w:sz w:val="19"/>
          <w:szCs w:val="19"/>
        </w:rPr>
        <w:t xml:space="preserve">237-252. </w:t>
      </w:r>
    </w:p>
    <w:p w:rsidR="00A21D39" w:rsidRPr="006523F7" w:rsidRDefault="00A21D39" w:rsidP="006523F7">
      <w:pPr>
        <w:spacing w:before="0" w:line="240" w:lineRule="auto"/>
        <w:rPr>
          <w:rFonts w:hint="eastAsia"/>
          <w:sz w:val="19"/>
          <w:szCs w:val="19"/>
        </w:rPr>
      </w:pPr>
      <w:r w:rsidRPr="006523F7">
        <w:rPr>
          <w:rFonts w:hint="eastAsia"/>
          <w:sz w:val="19"/>
          <w:szCs w:val="19"/>
        </w:rPr>
        <w:t>Li, S.</w:t>
      </w:r>
      <w:r w:rsidR="00F1436A">
        <w:rPr>
          <w:sz w:val="19"/>
          <w:szCs w:val="19"/>
        </w:rPr>
        <w:t>/</w:t>
      </w:r>
      <w:r w:rsidRPr="006523F7">
        <w:rPr>
          <w:rFonts w:hint="eastAsia"/>
          <w:sz w:val="19"/>
          <w:szCs w:val="19"/>
        </w:rPr>
        <w:t>Guo, S. (2016)</w:t>
      </w:r>
      <w:r w:rsidR="00F1436A">
        <w:rPr>
          <w:sz w:val="19"/>
          <w:szCs w:val="19"/>
        </w:rPr>
        <w:t>:</w:t>
      </w:r>
      <w:r w:rsidRPr="006523F7">
        <w:rPr>
          <w:rFonts w:hint="eastAsia"/>
          <w:sz w:val="19"/>
          <w:szCs w:val="19"/>
        </w:rPr>
        <w:t xml:space="preserve"> Collocation analysis tools for Chinese collocation studies. Journal of </w:t>
      </w:r>
    </w:p>
    <w:p w:rsidR="002F3040" w:rsidRPr="006523F7" w:rsidRDefault="00A21D39" w:rsidP="006523F7">
      <w:pPr>
        <w:spacing w:before="0" w:line="240" w:lineRule="auto"/>
        <w:ind w:firstLine="480"/>
        <w:rPr>
          <w:rFonts w:hint="eastAsia"/>
          <w:sz w:val="19"/>
          <w:szCs w:val="19"/>
        </w:rPr>
      </w:pPr>
      <w:r w:rsidRPr="006523F7">
        <w:rPr>
          <w:rFonts w:hint="eastAsia"/>
          <w:sz w:val="19"/>
          <w:szCs w:val="19"/>
        </w:rPr>
        <w:t xml:space="preserve">Technology and Chinese Language Teaching, 7(1), </w:t>
      </w:r>
      <w:r w:rsidR="00F1436A">
        <w:rPr>
          <w:sz w:val="19"/>
          <w:szCs w:val="19"/>
        </w:rPr>
        <w:t xml:space="preserve">pp. </w:t>
      </w:r>
      <w:r w:rsidRPr="006523F7">
        <w:rPr>
          <w:rFonts w:hint="eastAsia"/>
          <w:sz w:val="19"/>
          <w:szCs w:val="19"/>
        </w:rPr>
        <w:t xml:space="preserve">56-77. </w:t>
      </w:r>
    </w:p>
    <w:p w:rsidR="00A21D39" w:rsidRPr="006523F7" w:rsidRDefault="00A21D39" w:rsidP="006523F7">
      <w:pPr>
        <w:autoSpaceDE w:val="0"/>
        <w:autoSpaceDN w:val="0"/>
        <w:adjustRightInd w:val="0"/>
        <w:spacing w:before="0" w:line="240" w:lineRule="auto"/>
        <w:rPr>
          <w:rFonts w:hint="eastAsia"/>
          <w:sz w:val="19"/>
          <w:szCs w:val="19"/>
        </w:rPr>
      </w:pPr>
      <w:r w:rsidRPr="006523F7">
        <w:rPr>
          <w:rFonts w:hint="eastAsia"/>
          <w:sz w:val="19"/>
          <w:szCs w:val="19"/>
        </w:rPr>
        <w:t>Lien, H. Y. (2017)</w:t>
      </w:r>
      <w:r w:rsidR="00F1436A">
        <w:rPr>
          <w:sz w:val="19"/>
          <w:szCs w:val="19"/>
        </w:rPr>
        <w:t xml:space="preserve">: </w:t>
      </w:r>
      <w:r w:rsidRPr="006523F7">
        <w:rPr>
          <w:rFonts w:hint="eastAsia"/>
          <w:sz w:val="19"/>
          <w:szCs w:val="19"/>
        </w:rPr>
        <w:t xml:space="preserve">The analysis of religious corpus. Proceedings of the International Journal of </w:t>
      </w:r>
    </w:p>
    <w:p w:rsidR="00A21D39" w:rsidRPr="006523F7" w:rsidRDefault="00A21D39" w:rsidP="006523F7">
      <w:pPr>
        <w:autoSpaceDE w:val="0"/>
        <w:autoSpaceDN w:val="0"/>
        <w:adjustRightInd w:val="0"/>
        <w:spacing w:before="0" w:line="240" w:lineRule="auto"/>
        <w:ind w:firstLine="480"/>
        <w:rPr>
          <w:sz w:val="19"/>
          <w:szCs w:val="19"/>
        </w:rPr>
      </w:pPr>
      <w:r w:rsidRPr="006523F7">
        <w:rPr>
          <w:rFonts w:hint="eastAsia"/>
          <w:sz w:val="19"/>
          <w:szCs w:val="19"/>
        </w:rPr>
        <w:t xml:space="preserve">Arts and Sciences, 10(2), </w:t>
      </w:r>
      <w:r w:rsidR="00F1436A">
        <w:rPr>
          <w:sz w:val="19"/>
          <w:szCs w:val="19"/>
        </w:rPr>
        <w:t xml:space="preserve">pp. </w:t>
      </w:r>
      <w:r w:rsidRPr="006523F7">
        <w:rPr>
          <w:rFonts w:hint="eastAsia"/>
          <w:sz w:val="19"/>
          <w:szCs w:val="19"/>
        </w:rPr>
        <w:t>305-306.</w:t>
      </w:r>
    </w:p>
    <w:p w:rsidR="00A21D39" w:rsidRPr="006523F7" w:rsidRDefault="00A21D39" w:rsidP="006523F7">
      <w:pPr>
        <w:tabs>
          <w:tab w:val="left" w:pos="4536"/>
          <w:tab w:val="left" w:pos="5529"/>
        </w:tabs>
        <w:autoSpaceDE w:val="0"/>
        <w:autoSpaceDN w:val="0"/>
        <w:adjustRightInd w:val="0"/>
        <w:spacing w:before="0" w:line="240" w:lineRule="auto"/>
        <w:ind w:left="475" w:hangingChars="250" w:hanging="475"/>
        <w:rPr>
          <w:rFonts w:hint="eastAsia"/>
          <w:sz w:val="19"/>
          <w:szCs w:val="19"/>
        </w:rPr>
      </w:pPr>
      <w:r w:rsidRPr="006523F7">
        <w:rPr>
          <w:rFonts w:hint="eastAsia"/>
          <w:sz w:val="19"/>
          <w:szCs w:val="19"/>
        </w:rPr>
        <w:t>Lien, H. Y. (2018)</w:t>
      </w:r>
      <w:r w:rsidR="00F1436A">
        <w:rPr>
          <w:sz w:val="19"/>
          <w:szCs w:val="19"/>
        </w:rPr>
        <w:t>:</w:t>
      </w:r>
      <w:r w:rsidRPr="006523F7">
        <w:rPr>
          <w:rFonts w:hint="eastAsia"/>
          <w:sz w:val="19"/>
          <w:szCs w:val="19"/>
        </w:rPr>
        <w:t xml:space="preserve"> Mining comparable corpora for cross-language information retrieval. CALL your Data, </w:t>
      </w:r>
      <w:r w:rsidR="00F1436A">
        <w:rPr>
          <w:sz w:val="19"/>
          <w:szCs w:val="19"/>
        </w:rPr>
        <w:t xml:space="preserve">pp. </w:t>
      </w:r>
      <w:r w:rsidRPr="006523F7">
        <w:rPr>
          <w:rFonts w:hint="eastAsia"/>
          <w:sz w:val="19"/>
          <w:szCs w:val="19"/>
        </w:rPr>
        <w:t xml:space="preserve">223-228. </w:t>
      </w:r>
    </w:p>
    <w:p w:rsidR="00A21D39" w:rsidRPr="006523F7" w:rsidRDefault="00A21D39" w:rsidP="006523F7">
      <w:pPr>
        <w:tabs>
          <w:tab w:val="left" w:pos="4536"/>
          <w:tab w:val="left" w:pos="5529"/>
        </w:tabs>
        <w:autoSpaceDE w:val="0"/>
        <w:autoSpaceDN w:val="0"/>
        <w:adjustRightInd w:val="0"/>
        <w:spacing w:before="0" w:line="240" w:lineRule="auto"/>
        <w:ind w:left="475" w:hangingChars="250" w:hanging="475"/>
        <w:rPr>
          <w:sz w:val="19"/>
          <w:szCs w:val="19"/>
        </w:rPr>
      </w:pPr>
      <w:r w:rsidRPr="006523F7">
        <w:rPr>
          <w:rFonts w:hint="eastAsia"/>
          <w:sz w:val="19"/>
          <w:szCs w:val="19"/>
        </w:rPr>
        <w:t>L</w:t>
      </w:r>
      <w:r w:rsidRPr="006523F7">
        <w:rPr>
          <w:sz w:val="19"/>
          <w:szCs w:val="19"/>
        </w:rPr>
        <w:t>ien, H. Y. (2022)</w:t>
      </w:r>
      <w:r w:rsidR="00F1436A">
        <w:rPr>
          <w:sz w:val="19"/>
          <w:szCs w:val="19"/>
        </w:rPr>
        <w:t>:</w:t>
      </w:r>
      <w:r w:rsidRPr="006523F7">
        <w:rPr>
          <w:sz w:val="19"/>
          <w:szCs w:val="19"/>
        </w:rPr>
        <w:t xml:space="preserve"> Revisiting keyword analysis in a specialized corpus: Religious terminology extraction. Journal of Quantitative Linguistics, 29(3), </w:t>
      </w:r>
      <w:r w:rsidR="00F1436A">
        <w:rPr>
          <w:sz w:val="19"/>
          <w:szCs w:val="19"/>
        </w:rPr>
        <w:t xml:space="preserve">pp. </w:t>
      </w:r>
      <w:r w:rsidRPr="006523F7">
        <w:rPr>
          <w:sz w:val="19"/>
          <w:szCs w:val="19"/>
        </w:rPr>
        <w:t xml:space="preserve">269-282. </w:t>
      </w:r>
    </w:p>
    <w:p w:rsidR="00A21D39" w:rsidRPr="006523F7" w:rsidRDefault="00A21D39" w:rsidP="006523F7">
      <w:pPr>
        <w:spacing w:before="0" w:line="240" w:lineRule="auto"/>
        <w:rPr>
          <w:sz w:val="19"/>
          <w:szCs w:val="19"/>
        </w:rPr>
      </w:pPr>
      <w:r w:rsidRPr="006523F7">
        <w:rPr>
          <w:sz w:val="19"/>
          <w:szCs w:val="19"/>
        </w:rPr>
        <w:t>Morin, E.</w:t>
      </w:r>
      <w:r w:rsidR="00F1436A">
        <w:rPr>
          <w:sz w:val="19"/>
          <w:szCs w:val="19"/>
        </w:rPr>
        <w:t>/</w:t>
      </w:r>
      <w:proofErr w:type="spellStart"/>
      <w:r w:rsidRPr="006523F7">
        <w:rPr>
          <w:sz w:val="19"/>
          <w:szCs w:val="19"/>
        </w:rPr>
        <w:t>Hasem</w:t>
      </w:r>
      <w:proofErr w:type="spellEnd"/>
      <w:r w:rsidRPr="006523F7">
        <w:rPr>
          <w:sz w:val="19"/>
          <w:szCs w:val="19"/>
        </w:rPr>
        <w:t>, A. (2015)</w:t>
      </w:r>
      <w:r w:rsidR="00F1436A">
        <w:rPr>
          <w:sz w:val="19"/>
          <w:szCs w:val="19"/>
        </w:rPr>
        <w:t>:</w:t>
      </w:r>
      <w:r w:rsidRPr="006523F7">
        <w:rPr>
          <w:sz w:val="19"/>
          <w:szCs w:val="19"/>
        </w:rPr>
        <w:t xml:space="preserve"> Exploiting unbalanced specialized comparable corpora for </w:t>
      </w:r>
    </w:p>
    <w:p w:rsidR="00A21D39" w:rsidRPr="006523F7" w:rsidRDefault="00A21D39" w:rsidP="006523F7">
      <w:pPr>
        <w:spacing w:before="0" w:line="240" w:lineRule="auto"/>
        <w:ind w:firstLine="480"/>
        <w:rPr>
          <w:sz w:val="19"/>
          <w:szCs w:val="19"/>
        </w:rPr>
      </w:pPr>
      <w:r w:rsidRPr="006523F7">
        <w:rPr>
          <w:sz w:val="19"/>
          <w:szCs w:val="19"/>
        </w:rPr>
        <w:t xml:space="preserve">bilingual lexicon extraction. Natural Language Engineering, 22(4), </w:t>
      </w:r>
      <w:r w:rsidR="00F1436A">
        <w:rPr>
          <w:sz w:val="19"/>
          <w:szCs w:val="19"/>
        </w:rPr>
        <w:t xml:space="preserve">pp. </w:t>
      </w:r>
      <w:r w:rsidRPr="006523F7">
        <w:rPr>
          <w:sz w:val="19"/>
          <w:szCs w:val="19"/>
        </w:rPr>
        <w:t>575-601.</w:t>
      </w:r>
    </w:p>
    <w:p w:rsidR="00F1436A" w:rsidRDefault="00A21D39" w:rsidP="00F1436A">
      <w:pPr>
        <w:spacing w:before="0" w:line="240" w:lineRule="auto"/>
        <w:rPr>
          <w:sz w:val="19"/>
          <w:szCs w:val="19"/>
        </w:rPr>
      </w:pPr>
      <w:r w:rsidRPr="006523F7">
        <w:rPr>
          <w:rFonts w:hint="eastAsia"/>
          <w:sz w:val="19"/>
          <w:szCs w:val="19"/>
        </w:rPr>
        <w:t xml:space="preserve">Muller, A. C. (2015). Digital Dictionary of Buddhism. Retrieved from </w:t>
      </w:r>
    </w:p>
    <w:p w:rsidR="00A21D39" w:rsidRPr="006523F7" w:rsidRDefault="00F1436A" w:rsidP="00F1436A">
      <w:pPr>
        <w:spacing w:before="0" w:line="240" w:lineRule="auto"/>
        <w:rPr>
          <w:sz w:val="19"/>
          <w:szCs w:val="19"/>
        </w:rPr>
      </w:pPr>
      <w:r>
        <w:rPr>
          <w:sz w:val="19"/>
          <w:szCs w:val="19"/>
        </w:rPr>
        <w:tab/>
      </w:r>
      <w:r w:rsidR="00A21D39" w:rsidRPr="006523F7">
        <w:rPr>
          <w:sz w:val="19"/>
          <w:szCs w:val="19"/>
        </w:rPr>
        <w:t>http://www.buddhism-dict.net/dicts-intro.html</w:t>
      </w:r>
    </w:p>
    <w:p w:rsidR="00A21D39" w:rsidRPr="006523F7" w:rsidRDefault="00A21D39" w:rsidP="006523F7">
      <w:pPr>
        <w:spacing w:before="0" w:line="240" w:lineRule="auto"/>
        <w:rPr>
          <w:rFonts w:eastAsia="標楷體"/>
          <w:sz w:val="19"/>
          <w:szCs w:val="19"/>
        </w:rPr>
      </w:pPr>
      <w:r w:rsidRPr="006523F7">
        <w:rPr>
          <w:rFonts w:eastAsia="標楷體" w:hint="eastAsia"/>
          <w:sz w:val="19"/>
          <w:szCs w:val="19"/>
        </w:rPr>
        <w:t>Ndhlovu, K. (2016)</w:t>
      </w:r>
      <w:r w:rsidR="00F1436A">
        <w:rPr>
          <w:rFonts w:eastAsia="標楷體"/>
          <w:sz w:val="19"/>
          <w:szCs w:val="19"/>
        </w:rPr>
        <w:t>:</w:t>
      </w:r>
      <w:r w:rsidRPr="006523F7">
        <w:rPr>
          <w:rFonts w:eastAsia="標楷體" w:hint="eastAsia"/>
          <w:sz w:val="19"/>
          <w:szCs w:val="19"/>
        </w:rPr>
        <w:t xml:space="preserve"> Using </w:t>
      </w:r>
      <w:proofErr w:type="spellStart"/>
      <w:r w:rsidRPr="006523F7">
        <w:rPr>
          <w:rFonts w:eastAsia="標楷體" w:hint="eastAsia"/>
          <w:sz w:val="19"/>
          <w:szCs w:val="19"/>
        </w:rPr>
        <w:t>ParaConc</w:t>
      </w:r>
      <w:proofErr w:type="spellEnd"/>
      <w:r w:rsidRPr="006523F7">
        <w:rPr>
          <w:rFonts w:eastAsia="標楷體" w:hint="eastAsia"/>
          <w:sz w:val="19"/>
          <w:szCs w:val="19"/>
        </w:rPr>
        <w:t xml:space="preserve"> to extract bilingual terminology from parallel corpora: A case </w:t>
      </w:r>
    </w:p>
    <w:p w:rsidR="00A21D39" w:rsidRPr="006523F7" w:rsidRDefault="00A21D39" w:rsidP="006523F7">
      <w:pPr>
        <w:spacing w:before="0" w:line="240" w:lineRule="auto"/>
        <w:ind w:firstLine="480"/>
        <w:rPr>
          <w:rFonts w:eastAsia="標楷體"/>
          <w:sz w:val="19"/>
          <w:szCs w:val="19"/>
        </w:rPr>
      </w:pPr>
      <w:r w:rsidRPr="006523F7">
        <w:rPr>
          <w:rFonts w:eastAsia="標楷體" w:hint="eastAsia"/>
          <w:sz w:val="19"/>
          <w:szCs w:val="19"/>
        </w:rPr>
        <w:t>of English and Ndebele</w:t>
      </w:r>
      <w:r w:rsidRPr="006523F7">
        <w:rPr>
          <w:rFonts w:eastAsia="標楷體"/>
          <w:sz w:val="19"/>
          <w:szCs w:val="19"/>
        </w:rPr>
        <w:t>’</w:t>
      </w:r>
      <w:r w:rsidRPr="006523F7">
        <w:rPr>
          <w:rFonts w:eastAsia="標楷體" w:hint="eastAsia"/>
          <w:sz w:val="19"/>
          <w:szCs w:val="19"/>
        </w:rPr>
        <w:t xml:space="preserve">. </w:t>
      </w:r>
      <w:proofErr w:type="spellStart"/>
      <w:r w:rsidRPr="006523F7">
        <w:rPr>
          <w:rFonts w:eastAsia="標楷體" w:hint="eastAsia"/>
          <w:sz w:val="19"/>
          <w:szCs w:val="19"/>
        </w:rPr>
        <w:t>Literator</w:t>
      </w:r>
      <w:proofErr w:type="spellEnd"/>
      <w:r w:rsidRPr="006523F7">
        <w:rPr>
          <w:rFonts w:eastAsia="標楷體" w:hint="eastAsia"/>
          <w:sz w:val="19"/>
          <w:szCs w:val="19"/>
        </w:rPr>
        <w:t xml:space="preserve">, 37(2), </w:t>
      </w:r>
      <w:r w:rsidR="00F1436A">
        <w:rPr>
          <w:rFonts w:eastAsia="標楷體"/>
          <w:sz w:val="19"/>
          <w:szCs w:val="19"/>
        </w:rPr>
        <w:t xml:space="preserve">pp. </w:t>
      </w:r>
      <w:r w:rsidRPr="006523F7">
        <w:rPr>
          <w:rFonts w:eastAsia="標楷體" w:hint="eastAsia"/>
          <w:sz w:val="19"/>
          <w:szCs w:val="19"/>
        </w:rPr>
        <w:t xml:space="preserve">1-12 </w:t>
      </w:r>
    </w:p>
    <w:p w:rsidR="00A21D39" w:rsidRPr="006523F7" w:rsidRDefault="00A21D39" w:rsidP="006523F7">
      <w:pPr>
        <w:autoSpaceDE w:val="0"/>
        <w:autoSpaceDN w:val="0"/>
        <w:adjustRightInd w:val="0"/>
        <w:spacing w:before="0" w:line="240" w:lineRule="auto"/>
        <w:rPr>
          <w:sz w:val="19"/>
          <w:szCs w:val="19"/>
        </w:rPr>
      </w:pPr>
      <w:proofErr w:type="spellStart"/>
      <w:r w:rsidRPr="006523F7">
        <w:rPr>
          <w:sz w:val="19"/>
          <w:szCs w:val="19"/>
        </w:rPr>
        <w:t>Štajner</w:t>
      </w:r>
      <w:proofErr w:type="spellEnd"/>
      <w:r w:rsidRPr="006523F7">
        <w:rPr>
          <w:sz w:val="19"/>
          <w:szCs w:val="19"/>
        </w:rPr>
        <w:t>, T.</w:t>
      </w:r>
      <w:r w:rsidR="00F1436A">
        <w:rPr>
          <w:sz w:val="19"/>
          <w:szCs w:val="19"/>
        </w:rPr>
        <w:t>/</w:t>
      </w:r>
      <w:proofErr w:type="spellStart"/>
      <w:r w:rsidRPr="006523F7">
        <w:rPr>
          <w:sz w:val="19"/>
          <w:szCs w:val="19"/>
        </w:rPr>
        <w:t>Mladenić</w:t>
      </w:r>
      <w:proofErr w:type="spellEnd"/>
      <w:r w:rsidRPr="006523F7">
        <w:rPr>
          <w:sz w:val="19"/>
          <w:szCs w:val="19"/>
        </w:rPr>
        <w:t>, D. (2019)</w:t>
      </w:r>
      <w:r w:rsidR="00F1436A">
        <w:rPr>
          <w:sz w:val="19"/>
          <w:szCs w:val="19"/>
        </w:rPr>
        <w:t>:</w:t>
      </w:r>
      <w:r w:rsidRPr="006523F7">
        <w:rPr>
          <w:sz w:val="19"/>
          <w:szCs w:val="19"/>
        </w:rPr>
        <w:t xml:space="preserve"> Cross-lingual document similarity estimation and dictionary </w:t>
      </w:r>
    </w:p>
    <w:p w:rsidR="00A21D39" w:rsidRPr="006523F7" w:rsidRDefault="00A21D39" w:rsidP="006523F7">
      <w:pPr>
        <w:autoSpaceDE w:val="0"/>
        <w:autoSpaceDN w:val="0"/>
        <w:adjustRightInd w:val="0"/>
        <w:spacing w:before="0" w:line="240" w:lineRule="auto"/>
        <w:rPr>
          <w:sz w:val="19"/>
          <w:szCs w:val="19"/>
        </w:rPr>
      </w:pPr>
      <w:r w:rsidRPr="006523F7">
        <w:rPr>
          <w:sz w:val="19"/>
          <w:szCs w:val="19"/>
        </w:rPr>
        <w:tab/>
        <w:t xml:space="preserve">generation with comparable corpora. Knowledge and Information Systems, 58, </w:t>
      </w:r>
      <w:r w:rsidR="00F1436A">
        <w:rPr>
          <w:sz w:val="19"/>
          <w:szCs w:val="19"/>
        </w:rPr>
        <w:t xml:space="preserve">pp. </w:t>
      </w:r>
      <w:r w:rsidRPr="006523F7">
        <w:rPr>
          <w:sz w:val="19"/>
          <w:szCs w:val="19"/>
        </w:rPr>
        <w:t xml:space="preserve">729-743. </w:t>
      </w:r>
    </w:p>
    <w:p w:rsidR="00A21D39" w:rsidRPr="006523F7" w:rsidRDefault="00A21D39" w:rsidP="006523F7">
      <w:pPr>
        <w:spacing w:before="0" w:line="240" w:lineRule="auto"/>
        <w:rPr>
          <w:rFonts w:eastAsia="標楷體"/>
          <w:sz w:val="19"/>
          <w:szCs w:val="19"/>
        </w:rPr>
      </w:pPr>
      <w:proofErr w:type="spellStart"/>
      <w:r w:rsidRPr="006523F7">
        <w:rPr>
          <w:rFonts w:eastAsia="標楷體" w:hint="eastAsia"/>
          <w:sz w:val="19"/>
          <w:szCs w:val="19"/>
        </w:rPr>
        <w:t>T</w:t>
      </w:r>
      <w:r w:rsidRPr="006523F7">
        <w:rPr>
          <w:rFonts w:eastAsia="標楷體"/>
          <w:sz w:val="19"/>
          <w:szCs w:val="19"/>
        </w:rPr>
        <w:t>erryn</w:t>
      </w:r>
      <w:proofErr w:type="spellEnd"/>
      <w:r w:rsidRPr="006523F7">
        <w:rPr>
          <w:rFonts w:eastAsia="標楷體"/>
          <w:sz w:val="19"/>
          <w:szCs w:val="19"/>
        </w:rPr>
        <w:t xml:space="preserve">, A. R., </w:t>
      </w:r>
      <w:proofErr w:type="spellStart"/>
      <w:r w:rsidRPr="006523F7">
        <w:rPr>
          <w:rFonts w:eastAsia="標楷體"/>
          <w:sz w:val="19"/>
          <w:szCs w:val="19"/>
        </w:rPr>
        <w:t>Hoste</w:t>
      </w:r>
      <w:proofErr w:type="spellEnd"/>
      <w:r w:rsidRPr="006523F7">
        <w:rPr>
          <w:rFonts w:eastAsia="標楷體"/>
          <w:sz w:val="19"/>
          <w:szCs w:val="19"/>
        </w:rPr>
        <w:t>, V., &amp; Lefever, E. (2020)</w:t>
      </w:r>
      <w:r w:rsidR="00F1436A">
        <w:rPr>
          <w:rFonts w:eastAsia="標楷體"/>
          <w:sz w:val="19"/>
          <w:szCs w:val="19"/>
        </w:rPr>
        <w:t>:</w:t>
      </w:r>
      <w:r w:rsidRPr="006523F7">
        <w:rPr>
          <w:rFonts w:eastAsia="標楷體"/>
          <w:sz w:val="19"/>
          <w:szCs w:val="19"/>
        </w:rPr>
        <w:t xml:space="preserve"> In no uncertain terms: a dataset for monolingual and </w:t>
      </w:r>
    </w:p>
    <w:p w:rsidR="00A21D39" w:rsidRPr="006523F7" w:rsidRDefault="00A21D39" w:rsidP="006523F7">
      <w:pPr>
        <w:spacing w:before="0" w:line="240" w:lineRule="auto"/>
        <w:rPr>
          <w:rFonts w:eastAsia="標楷體"/>
          <w:sz w:val="19"/>
          <w:szCs w:val="19"/>
        </w:rPr>
      </w:pPr>
      <w:r w:rsidRPr="006523F7">
        <w:rPr>
          <w:rFonts w:eastAsia="標楷體"/>
          <w:sz w:val="19"/>
          <w:szCs w:val="19"/>
        </w:rPr>
        <w:tab/>
        <w:t xml:space="preserve">multilingual automatic term extraction from comparable corpora. Language Resources and </w:t>
      </w:r>
    </w:p>
    <w:p w:rsidR="00A21D39" w:rsidRPr="006523F7" w:rsidRDefault="00A21D39" w:rsidP="006523F7">
      <w:pPr>
        <w:spacing w:before="0" w:line="240" w:lineRule="auto"/>
        <w:rPr>
          <w:rFonts w:eastAsia="標楷體" w:hint="eastAsia"/>
          <w:sz w:val="19"/>
          <w:szCs w:val="19"/>
        </w:rPr>
      </w:pPr>
      <w:r w:rsidRPr="006523F7">
        <w:rPr>
          <w:rFonts w:eastAsia="標楷體"/>
          <w:sz w:val="19"/>
          <w:szCs w:val="19"/>
        </w:rPr>
        <w:tab/>
        <w:t xml:space="preserve">Evaluation, 54(2), 385-418. </w:t>
      </w:r>
    </w:p>
    <w:p w:rsidR="00A21D39" w:rsidRPr="006523F7" w:rsidRDefault="00A21D39" w:rsidP="006523F7">
      <w:pPr>
        <w:autoSpaceDE w:val="0"/>
        <w:autoSpaceDN w:val="0"/>
        <w:adjustRightInd w:val="0"/>
        <w:spacing w:before="0" w:line="240" w:lineRule="auto"/>
        <w:rPr>
          <w:sz w:val="19"/>
          <w:szCs w:val="19"/>
        </w:rPr>
      </w:pPr>
      <w:proofErr w:type="spellStart"/>
      <w:r w:rsidRPr="006523F7">
        <w:rPr>
          <w:sz w:val="19"/>
          <w:szCs w:val="19"/>
        </w:rPr>
        <w:t>Tongpoon-Patanasorn</w:t>
      </w:r>
      <w:proofErr w:type="spellEnd"/>
      <w:r w:rsidRPr="006523F7">
        <w:rPr>
          <w:sz w:val="19"/>
          <w:szCs w:val="19"/>
        </w:rPr>
        <w:t>, A. (2018)</w:t>
      </w:r>
      <w:r w:rsidR="00F1436A">
        <w:rPr>
          <w:sz w:val="19"/>
          <w:szCs w:val="19"/>
        </w:rPr>
        <w:t>:</w:t>
      </w:r>
      <w:r w:rsidRPr="006523F7">
        <w:rPr>
          <w:sz w:val="19"/>
          <w:szCs w:val="19"/>
        </w:rPr>
        <w:t xml:space="preserve"> Developing a </w:t>
      </w:r>
      <w:proofErr w:type="gramStart"/>
      <w:r w:rsidRPr="006523F7">
        <w:rPr>
          <w:sz w:val="19"/>
          <w:szCs w:val="19"/>
        </w:rPr>
        <w:t>frequent technical words</w:t>
      </w:r>
      <w:proofErr w:type="gramEnd"/>
      <w:r w:rsidRPr="006523F7">
        <w:rPr>
          <w:sz w:val="19"/>
          <w:szCs w:val="19"/>
        </w:rPr>
        <w:t xml:space="preserve"> list for finance: A hybrid </w:t>
      </w:r>
    </w:p>
    <w:p w:rsidR="00A21D39" w:rsidRPr="006523F7" w:rsidRDefault="00A21D39" w:rsidP="006523F7">
      <w:pPr>
        <w:autoSpaceDE w:val="0"/>
        <w:autoSpaceDN w:val="0"/>
        <w:adjustRightInd w:val="0"/>
        <w:spacing w:before="0" w:line="240" w:lineRule="auto"/>
        <w:ind w:firstLine="480"/>
        <w:rPr>
          <w:rFonts w:hint="eastAsia"/>
          <w:sz w:val="19"/>
          <w:szCs w:val="19"/>
        </w:rPr>
      </w:pPr>
      <w:r w:rsidRPr="006523F7">
        <w:rPr>
          <w:sz w:val="19"/>
          <w:szCs w:val="19"/>
        </w:rPr>
        <w:t xml:space="preserve">approach. English for Specific Purposes, 51, </w:t>
      </w:r>
      <w:r w:rsidR="00F1436A">
        <w:rPr>
          <w:sz w:val="19"/>
          <w:szCs w:val="19"/>
        </w:rPr>
        <w:t xml:space="preserve">pp. </w:t>
      </w:r>
      <w:r w:rsidRPr="006523F7">
        <w:rPr>
          <w:sz w:val="19"/>
          <w:szCs w:val="19"/>
        </w:rPr>
        <w:t xml:space="preserve">45-54. </w:t>
      </w:r>
    </w:p>
    <w:p w:rsidR="00FC4654" w:rsidRPr="006523F7" w:rsidRDefault="00FC4654" w:rsidP="006523F7">
      <w:pPr>
        <w:spacing w:before="0" w:line="240" w:lineRule="auto"/>
        <w:rPr>
          <w:sz w:val="19"/>
          <w:szCs w:val="19"/>
        </w:rPr>
      </w:pPr>
      <w:proofErr w:type="spellStart"/>
      <w:r w:rsidRPr="006523F7">
        <w:rPr>
          <w:rFonts w:hint="eastAsia"/>
          <w:sz w:val="19"/>
          <w:szCs w:val="19"/>
        </w:rPr>
        <w:t>Buswell</w:t>
      </w:r>
      <w:proofErr w:type="spellEnd"/>
      <w:r w:rsidRPr="006523F7">
        <w:rPr>
          <w:rFonts w:hint="eastAsia"/>
          <w:sz w:val="19"/>
          <w:szCs w:val="19"/>
        </w:rPr>
        <w:t xml:space="preserve"> Jr., R. E.</w:t>
      </w:r>
      <w:r w:rsidR="00F1436A">
        <w:rPr>
          <w:sz w:val="19"/>
          <w:szCs w:val="19"/>
        </w:rPr>
        <w:t>/</w:t>
      </w:r>
      <w:r w:rsidRPr="006523F7">
        <w:rPr>
          <w:rFonts w:hint="eastAsia"/>
          <w:sz w:val="19"/>
          <w:szCs w:val="19"/>
        </w:rPr>
        <w:t>Lopez Jr. D. S. (2014)</w:t>
      </w:r>
      <w:r w:rsidR="00F1436A">
        <w:rPr>
          <w:sz w:val="19"/>
          <w:szCs w:val="19"/>
        </w:rPr>
        <w:t>:</w:t>
      </w:r>
      <w:r w:rsidRPr="006523F7">
        <w:rPr>
          <w:rFonts w:hint="eastAsia"/>
          <w:sz w:val="19"/>
          <w:szCs w:val="19"/>
        </w:rPr>
        <w:t xml:space="preserve"> The Princeton Dictionary of Buddhism. Princeton &amp; </w:t>
      </w:r>
    </w:p>
    <w:p w:rsidR="00FC4654" w:rsidRPr="006523F7" w:rsidRDefault="00FC4654" w:rsidP="006523F7">
      <w:pPr>
        <w:spacing w:before="0" w:line="240" w:lineRule="auto"/>
        <w:ind w:firstLine="480"/>
        <w:rPr>
          <w:sz w:val="19"/>
          <w:szCs w:val="19"/>
        </w:rPr>
      </w:pPr>
      <w:r w:rsidRPr="006523F7">
        <w:rPr>
          <w:rFonts w:hint="eastAsia"/>
          <w:sz w:val="19"/>
          <w:szCs w:val="19"/>
        </w:rPr>
        <w:t xml:space="preserve">Oxford: Princeton University Press. </w:t>
      </w:r>
    </w:p>
    <w:p w:rsidR="00FC4654" w:rsidRPr="006523F7" w:rsidRDefault="00FC4654" w:rsidP="006523F7">
      <w:pPr>
        <w:autoSpaceDE w:val="0"/>
        <w:autoSpaceDN w:val="0"/>
        <w:adjustRightInd w:val="0"/>
        <w:spacing w:before="0" w:line="240" w:lineRule="auto"/>
        <w:ind w:left="475" w:hangingChars="250" w:hanging="475"/>
        <w:rPr>
          <w:rFonts w:hint="eastAsia"/>
          <w:sz w:val="19"/>
          <w:szCs w:val="19"/>
        </w:rPr>
      </w:pPr>
      <w:proofErr w:type="spellStart"/>
      <w:r w:rsidRPr="006523F7">
        <w:rPr>
          <w:sz w:val="19"/>
          <w:szCs w:val="19"/>
        </w:rPr>
        <w:t>Giampieri</w:t>
      </w:r>
      <w:proofErr w:type="spellEnd"/>
      <w:r w:rsidRPr="006523F7">
        <w:rPr>
          <w:sz w:val="19"/>
          <w:szCs w:val="19"/>
        </w:rPr>
        <w:t>, P. (2018)</w:t>
      </w:r>
      <w:r w:rsidR="00F1436A">
        <w:rPr>
          <w:sz w:val="19"/>
          <w:szCs w:val="19"/>
        </w:rPr>
        <w:t>:</w:t>
      </w:r>
      <w:r w:rsidRPr="006523F7">
        <w:rPr>
          <w:sz w:val="19"/>
          <w:szCs w:val="19"/>
        </w:rPr>
        <w:t xml:space="preserve"> Online parallel and comparable corpora for legal translations. </w:t>
      </w:r>
      <w:proofErr w:type="spellStart"/>
      <w:r w:rsidRPr="006523F7">
        <w:rPr>
          <w:sz w:val="19"/>
          <w:szCs w:val="19"/>
        </w:rPr>
        <w:t>Altre</w:t>
      </w:r>
      <w:proofErr w:type="spellEnd"/>
      <w:r w:rsidRPr="006523F7">
        <w:rPr>
          <w:sz w:val="19"/>
          <w:szCs w:val="19"/>
        </w:rPr>
        <w:t xml:space="preserve"> </w:t>
      </w:r>
      <w:proofErr w:type="spellStart"/>
      <w:r w:rsidRPr="006523F7">
        <w:rPr>
          <w:sz w:val="19"/>
          <w:szCs w:val="19"/>
        </w:rPr>
        <w:t>Modernita-Rivista</w:t>
      </w:r>
      <w:proofErr w:type="spellEnd"/>
      <w:r w:rsidRPr="006523F7">
        <w:rPr>
          <w:sz w:val="19"/>
          <w:szCs w:val="19"/>
        </w:rPr>
        <w:t xml:space="preserve"> Di </w:t>
      </w:r>
      <w:proofErr w:type="spellStart"/>
      <w:r w:rsidRPr="006523F7">
        <w:rPr>
          <w:sz w:val="19"/>
          <w:szCs w:val="19"/>
        </w:rPr>
        <w:t>Studi</w:t>
      </w:r>
      <w:proofErr w:type="spellEnd"/>
      <w:r w:rsidRPr="006523F7">
        <w:rPr>
          <w:sz w:val="19"/>
          <w:szCs w:val="19"/>
        </w:rPr>
        <w:t xml:space="preserve"> </w:t>
      </w:r>
      <w:proofErr w:type="spellStart"/>
      <w:r w:rsidRPr="006523F7">
        <w:rPr>
          <w:sz w:val="19"/>
          <w:szCs w:val="19"/>
        </w:rPr>
        <w:t>Letterari</w:t>
      </w:r>
      <w:proofErr w:type="spellEnd"/>
      <w:r w:rsidRPr="006523F7">
        <w:rPr>
          <w:sz w:val="19"/>
          <w:szCs w:val="19"/>
        </w:rPr>
        <w:t xml:space="preserve"> E </w:t>
      </w:r>
      <w:proofErr w:type="spellStart"/>
      <w:r w:rsidRPr="006523F7">
        <w:rPr>
          <w:sz w:val="19"/>
          <w:szCs w:val="19"/>
        </w:rPr>
        <w:t>Culturali</w:t>
      </w:r>
      <w:proofErr w:type="spellEnd"/>
      <w:r w:rsidRPr="006523F7">
        <w:rPr>
          <w:sz w:val="19"/>
          <w:szCs w:val="19"/>
        </w:rPr>
        <w:t xml:space="preserve">, 20, 237-252. </w:t>
      </w:r>
    </w:p>
    <w:p w:rsidR="00FC4654" w:rsidRPr="006523F7" w:rsidRDefault="00FC4654" w:rsidP="006523F7">
      <w:pPr>
        <w:spacing w:before="0" w:line="240" w:lineRule="auto"/>
        <w:rPr>
          <w:rFonts w:hint="eastAsia"/>
          <w:sz w:val="19"/>
          <w:szCs w:val="19"/>
        </w:rPr>
      </w:pPr>
      <w:r w:rsidRPr="006523F7">
        <w:rPr>
          <w:rFonts w:hint="eastAsia"/>
          <w:sz w:val="19"/>
          <w:szCs w:val="19"/>
        </w:rPr>
        <w:t>Li, S., &amp; Guo, S. (2016)</w:t>
      </w:r>
      <w:r w:rsidR="00F1436A">
        <w:rPr>
          <w:sz w:val="19"/>
          <w:szCs w:val="19"/>
        </w:rPr>
        <w:t>:</w:t>
      </w:r>
      <w:r w:rsidRPr="006523F7">
        <w:rPr>
          <w:rFonts w:hint="eastAsia"/>
          <w:sz w:val="19"/>
          <w:szCs w:val="19"/>
        </w:rPr>
        <w:t xml:space="preserve"> Collocation analysis tools for Chinese collocation studies. Journal of </w:t>
      </w:r>
    </w:p>
    <w:p w:rsidR="00FC4654" w:rsidRPr="006523F7" w:rsidRDefault="00FC4654" w:rsidP="006523F7">
      <w:pPr>
        <w:spacing w:before="0" w:line="240" w:lineRule="auto"/>
        <w:ind w:firstLine="480"/>
        <w:rPr>
          <w:rFonts w:hint="eastAsia"/>
          <w:sz w:val="19"/>
          <w:szCs w:val="19"/>
        </w:rPr>
      </w:pPr>
      <w:r w:rsidRPr="006523F7">
        <w:rPr>
          <w:rFonts w:hint="eastAsia"/>
          <w:sz w:val="19"/>
          <w:szCs w:val="19"/>
        </w:rPr>
        <w:t xml:space="preserve">Technology and Chinese Language Teaching, 7(1), 56-77. </w:t>
      </w:r>
    </w:p>
    <w:p w:rsidR="00FC4654" w:rsidRPr="006523F7" w:rsidRDefault="00FC4654" w:rsidP="006523F7">
      <w:pPr>
        <w:autoSpaceDE w:val="0"/>
        <w:autoSpaceDN w:val="0"/>
        <w:adjustRightInd w:val="0"/>
        <w:spacing w:before="0" w:line="240" w:lineRule="auto"/>
        <w:rPr>
          <w:rFonts w:hint="eastAsia"/>
          <w:sz w:val="19"/>
          <w:szCs w:val="19"/>
        </w:rPr>
      </w:pPr>
      <w:r w:rsidRPr="006523F7">
        <w:rPr>
          <w:rFonts w:hint="eastAsia"/>
          <w:sz w:val="19"/>
          <w:szCs w:val="19"/>
        </w:rPr>
        <w:t>Lien, H. Y. (2017)</w:t>
      </w:r>
      <w:r w:rsidR="00F1436A">
        <w:rPr>
          <w:sz w:val="19"/>
          <w:szCs w:val="19"/>
        </w:rPr>
        <w:t>:</w:t>
      </w:r>
      <w:r w:rsidRPr="006523F7">
        <w:rPr>
          <w:rFonts w:hint="eastAsia"/>
          <w:sz w:val="19"/>
          <w:szCs w:val="19"/>
        </w:rPr>
        <w:t xml:space="preserve"> The analysis of religious corpus. Proceedings of the International Journal of </w:t>
      </w:r>
    </w:p>
    <w:p w:rsidR="00FC4654" w:rsidRPr="006523F7" w:rsidRDefault="00FC4654" w:rsidP="006523F7">
      <w:pPr>
        <w:autoSpaceDE w:val="0"/>
        <w:autoSpaceDN w:val="0"/>
        <w:adjustRightInd w:val="0"/>
        <w:spacing w:before="0" w:line="240" w:lineRule="auto"/>
        <w:ind w:firstLine="480"/>
        <w:rPr>
          <w:sz w:val="19"/>
          <w:szCs w:val="19"/>
        </w:rPr>
      </w:pPr>
      <w:r w:rsidRPr="006523F7">
        <w:rPr>
          <w:rFonts w:hint="eastAsia"/>
          <w:sz w:val="19"/>
          <w:szCs w:val="19"/>
        </w:rPr>
        <w:t>Arts and Sciences, 10(2), 305-306.</w:t>
      </w:r>
    </w:p>
    <w:p w:rsidR="00FC4654" w:rsidRPr="006523F7" w:rsidRDefault="00FC4654" w:rsidP="006523F7">
      <w:pPr>
        <w:tabs>
          <w:tab w:val="left" w:pos="4536"/>
          <w:tab w:val="left" w:pos="5529"/>
        </w:tabs>
        <w:autoSpaceDE w:val="0"/>
        <w:autoSpaceDN w:val="0"/>
        <w:adjustRightInd w:val="0"/>
        <w:spacing w:before="0" w:line="240" w:lineRule="auto"/>
        <w:ind w:left="475" w:hangingChars="250" w:hanging="475"/>
        <w:rPr>
          <w:rFonts w:hint="eastAsia"/>
          <w:sz w:val="19"/>
          <w:szCs w:val="19"/>
        </w:rPr>
      </w:pPr>
      <w:r w:rsidRPr="006523F7">
        <w:rPr>
          <w:rFonts w:hint="eastAsia"/>
          <w:sz w:val="19"/>
          <w:szCs w:val="19"/>
        </w:rPr>
        <w:t>Lien, H. Y. (2018)</w:t>
      </w:r>
      <w:r w:rsidR="00F1436A">
        <w:rPr>
          <w:sz w:val="19"/>
          <w:szCs w:val="19"/>
        </w:rPr>
        <w:t>:</w:t>
      </w:r>
      <w:r w:rsidRPr="006523F7">
        <w:rPr>
          <w:rFonts w:hint="eastAsia"/>
          <w:sz w:val="19"/>
          <w:szCs w:val="19"/>
        </w:rPr>
        <w:t xml:space="preserve"> Mining comparable corpora for cross-language information retrieval. CALL your Data, 223-228. </w:t>
      </w:r>
    </w:p>
    <w:p w:rsidR="00FC4654" w:rsidRPr="006523F7" w:rsidRDefault="00FC4654" w:rsidP="006523F7">
      <w:pPr>
        <w:tabs>
          <w:tab w:val="left" w:pos="4536"/>
          <w:tab w:val="left" w:pos="5529"/>
        </w:tabs>
        <w:autoSpaceDE w:val="0"/>
        <w:autoSpaceDN w:val="0"/>
        <w:adjustRightInd w:val="0"/>
        <w:spacing w:before="0" w:line="240" w:lineRule="auto"/>
        <w:ind w:left="475" w:hangingChars="250" w:hanging="475"/>
        <w:rPr>
          <w:sz w:val="19"/>
          <w:szCs w:val="19"/>
        </w:rPr>
      </w:pPr>
      <w:r w:rsidRPr="006523F7">
        <w:rPr>
          <w:rFonts w:hint="eastAsia"/>
          <w:sz w:val="19"/>
          <w:szCs w:val="19"/>
        </w:rPr>
        <w:t>L</w:t>
      </w:r>
      <w:r w:rsidRPr="006523F7">
        <w:rPr>
          <w:sz w:val="19"/>
          <w:szCs w:val="19"/>
        </w:rPr>
        <w:t>ien, H. Y. (2022)</w:t>
      </w:r>
      <w:r w:rsidR="00F1436A">
        <w:rPr>
          <w:sz w:val="19"/>
          <w:szCs w:val="19"/>
        </w:rPr>
        <w:t>:</w:t>
      </w:r>
      <w:r w:rsidRPr="006523F7">
        <w:rPr>
          <w:sz w:val="19"/>
          <w:szCs w:val="19"/>
        </w:rPr>
        <w:t xml:space="preserve"> Revisiting keyword analysis in a specialized corpus: Religious terminology extraction. Journal of Quantitative Linguistics, 29(3), 269-282. </w:t>
      </w:r>
    </w:p>
    <w:p w:rsidR="00FC4654" w:rsidRPr="006523F7" w:rsidRDefault="00FC4654" w:rsidP="006523F7">
      <w:pPr>
        <w:spacing w:before="0" w:line="240" w:lineRule="auto"/>
        <w:rPr>
          <w:sz w:val="19"/>
          <w:szCs w:val="19"/>
        </w:rPr>
      </w:pPr>
      <w:r w:rsidRPr="006523F7">
        <w:rPr>
          <w:sz w:val="19"/>
          <w:szCs w:val="19"/>
        </w:rPr>
        <w:t xml:space="preserve">Morin, E., &amp; </w:t>
      </w:r>
      <w:proofErr w:type="spellStart"/>
      <w:r w:rsidRPr="006523F7">
        <w:rPr>
          <w:sz w:val="19"/>
          <w:szCs w:val="19"/>
        </w:rPr>
        <w:t>Hasem</w:t>
      </w:r>
      <w:proofErr w:type="spellEnd"/>
      <w:r w:rsidRPr="006523F7">
        <w:rPr>
          <w:sz w:val="19"/>
          <w:szCs w:val="19"/>
        </w:rPr>
        <w:t>, A. (2015)</w:t>
      </w:r>
      <w:r w:rsidR="00F1436A">
        <w:rPr>
          <w:sz w:val="19"/>
          <w:szCs w:val="19"/>
        </w:rPr>
        <w:t>:</w:t>
      </w:r>
      <w:r w:rsidRPr="006523F7">
        <w:rPr>
          <w:sz w:val="19"/>
          <w:szCs w:val="19"/>
        </w:rPr>
        <w:t xml:space="preserve"> Exploiting unbalanced specialized comparable corpora for </w:t>
      </w:r>
    </w:p>
    <w:p w:rsidR="00FC4654" w:rsidRPr="006523F7" w:rsidRDefault="00FC4654" w:rsidP="006523F7">
      <w:pPr>
        <w:spacing w:before="0" w:line="240" w:lineRule="auto"/>
        <w:ind w:firstLine="480"/>
        <w:rPr>
          <w:sz w:val="19"/>
          <w:szCs w:val="19"/>
        </w:rPr>
      </w:pPr>
      <w:r w:rsidRPr="006523F7">
        <w:rPr>
          <w:sz w:val="19"/>
          <w:szCs w:val="19"/>
        </w:rPr>
        <w:t>bilingual lexicon extraction. Natural Language Engineering, 22(4), 575-601.</w:t>
      </w:r>
    </w:p>
    <w:p w:rsidR="00FC4654" w:rsidRPr="006523F7" w:rsidRDefault="00FC4654" w:rsidP="006523F7">
      <w:pPr>
        <w:spacing w:before="0" w:line="240" w:lineRule="auto"/>
        <w:rPr>
          <w:sz w:val="19"/>
          <w:szCs w:val="19"/>
        </w:rPr>
      </w:pPr>
      <w:r w:rsidRPr="006523F7">
        <w:rPr>
          <w:rFonts w:hint="eastAsia"/>
          <w:sz w:val="19"/>
          <w:szCs w:val="19"/>
        </w:rPr>
        <w:t>Muller, A. C. (2015)</w:t>
      </w:r>
      <w:r w:rsidR="00F1436A">
        <w:rPr>
          <w:sz w:val="19"/>
          <w:szCs w:val="19"/>
        </w:rPr>
        <w:t>:</w:t>
      </w:r>
      <w:r w:rsidRPr="006523F7">
        <w:rPr>
          <w:rFonts w:hint="eastAsia"/>
          <w:sz w:val="19"/>
          <w:szCs w:val="19"/>
        </w:rPr>
        <w:t xml:space="preserve"> Digital Dictionary of Buddhism. Retrieved from </w:t>
      </w:r>
    </w:p>
    <w:p w:rsidR="00FC4654" w:rsidRPr="006523F7" w:rsidRDefault="00FC4654" w:rsidP="006523F7">
      <w:pPr>
        <w:spacing w:before="0" w:line="240" w:lineRule="auto"/>
        <w:ind w:firstLine="480"/>
        <w:rPr>
          <w:sz w:val="19"/>
          <w:szCs w:val="19"/>
        </w:rPr>
      </w:pPr>
      <w:r w:rsidRPr="006523F7">
        <w:rPr>
          <w:sz w:val="19"/>
          <w:szCs w:val="19"/>
        </w:rPr>
        <w:t>http://www.buddhism-dict.net/dicts-intro.html</w:t>
      </w:r>
    </w:p>
    <w:p w:rsidR="00FC4654" w:rsidRPr="006523F7" w:rsidRDefault="00FC4654" w:rsidP="006523F7">
      <w:pPr>
        <w:spacing w:before="0" w:line="240" w:lineRule="auto"/>
        <w:rPr>
          <w:rFonts w:eastAsia="標楷體"/>
          <w:sz w:val="19"/>
          <w:szCs w:val="19"/>
        </w:rPr>
      </w:pPr>
      <w:r w:rsidRPr="006523F7">
        <w:rPr>
          <w:rFonts w:eastAsia="標楷體" w:hint="eastAsia"/>
          <w:sz w:val="19"/>
          <w:szCs w:val="19"/>
        </w:rPr>
        <w:t>Ndhlovu, K. (2016)</w:t>
      </w:r>
      <w:r w:rsidR="00F1436A">
        <w:rPr>
          <w:rFonts w:eastAsia="標楷體"/>
          <w:sz w:val="19"/>
          <w:szCs w:val="19"/>
        </w:rPr>
        <w:t>:</w:t>
      </w:r>
      <w:r w:rsidRPr="006523F7">
        <w:rPr>
          <w:rFonts w:eastAsia="標楷體" w:hint="eastAsia"/>
          <w:sz w:val="19"/>
          <w:szCs w:val="19"/>
        </w:rPr>
        <w:t xml:space="preserve"> Using </w:t>
      </w:r>
      <w:proofErr w:type="spellStart"/>
      <w:r w:rsidRPr="006523F7">
        <w:rPr>
          <w:rFonts w:eastAsia="標楷體" w:hint="eastAsia"/>
          <w:sz w:val="19"/>
          <w:szCs w:val="19"/>
        </w:rPr>
        <w:t>ParaConc</w:t>
      </w:r>
      <w:proofErr w:type="spellEnd"/>
      <w:r w:rsidRPr="006523F7">
        <w:rPr>
          <w:rFonts w:eastAsia="標楷體" w:hint="eastAsia"/>
          <w:sz w:val="19"/>
          <w:szCs w:val="19"/>
        </w:rPr>
        <w:t xml:space="preserve"> to extract bilingual terminology from parallel corpora: A case </w:t>
      </w:r>
    </w:p>
    <w:p w:rsidR="00FC4654" w:rsidRPr="006523F7" w:rsidRDefault="00FC4654" w:rsidP="006523F7">
      <w:pPr>
        <w:spacing w:before="0" w:line="240" w:lineRule="auto"/>
        <w:ind w:firstLine="480"/>
        <w:rPr>
          <w:rFonts w:eastAsia="標楷體"/>
          <w:sz w:val="19"/>
          <w:szCs w:val="19"/>
        </w:rPr>
      </w:pPr>
      <w:r w:rsidRPr="006523F7">
        <w:rPr>
          <w:rFonts w:eastAsia="標楷體" w:hint="eastAsia"/>
          <w:sz w:val="19"/>
          <w:szCs w:val="19"/>
        </w:rPr>
        <w:t>of English and Ndebele</w:t>
      </w:r>
      <w:r w:rsidRPr="006523F7">
        <w:rPr>
          <w:rFonts w:eastAsia="標楷體"/>
          <w:sz w:val="19"/>
          <w:szCs w:val="19"/>
        </w:rPr>
        <w:t>’</w:t>
      </w:r>
      <w:r w:rsidRPr="006523F7">
        <w:rPr>
          <w:rFonts w:eastAsia="標楷體" w:hint="eastAsia"/>
          <w:sz w:val="19"/>
          <w:szCs w:val="19"/>
        </w:rPr>
        <w:t xml:space="preserve">. </w:t>
      </w:r>
      <w:proofErr w:type="spellStart"/>
      <w:r w:rsidRPr="006523F7">
        <w:rPr>
          <w:rFonts w:eastAsia="標楷體" w:hint="eastAsia"/>
          <w:sz w:val="19"/>
          <w:szCs w:val="19"/>
        </w:rPr>
        <w:t>Literator</w:t>
      </w:r>
      <w:proofErr w:type="spellEnd"/>
      <w:r w:rsidRPr="006523F7">
        <w:rPr>
          <w:rFonts w:eastAsia="標楷體" w:hint="eastAsia"/>
          <w:sz w:val="19"/>
          <w:szCs w:val="19"/>
        </w:rPr>
        <w:t xml:space="preserve">, 37(2), </w:t>
      </w:r>
      <w:r w:rsidR="00F1436A">
        <w:rPr>
          <w:rFonts w:eastAsia="標楷體"/>
          <w:sz w:val="19"/>
          <w:szCs w:val="19"/>
        </w:rPr>
        <w:t xml:space="preserve">pp. </w:t>
      </w:r>
      <w:r w:rsidRPr="006523F7">
        <w:rPr>
          <w:rFonts w:eastAsia="標楷體" w:hint="eastAsia"/>
          <w:sz w:val="19"/>
          <w:szCs w:val="19"/>
        </w:rPr>
        <w:t xml:space="preserve">1-12 </w:t>
      </w:r>
    </w:p>
    <w:p w:rsidR="00FC4654" w:rsidRPr="006523F7" w:rsidRDefault="00FC4654" w:rsidP="006523F7">
      <w:pPr>
        <w:autoSpaceDE w:val="0"/>
        <w:autoSpaceDN w:val="0"/>
        <w:adjustRightInd w:val="0"/>
        <w:spacing w:before="0" w:line="240" w:lineRule="auto"/>
        <w:rPr>
          <w:sz w:val="19"/>
          <w:szCs w:val="19"/>
        </w:rPr>
      </w:pPr>
      <w:proofErr w:type="spellStart"/>
      <w:r w:rsidRPr="006523F7">
        <w:rPr>
          <w:sz w:val="19"/>
          <w:szCs w:val="19"/>
        </w:rPr>
        <w:t>Štajner</w:t>
      </w:r>
      <w:proofErr w:type="spellEnd"/>
      <w:r w:rsidRPr="006523F7">
        <w:rPr>
          <w:sz w:val="19"/>
          <w:szCs w:val="19"/>
        </w:rPr>
        <w:t>, T.</w:t>
      </w:r>
      <w:r w:rsidR="00F1436A">
        <w:rPr>
          <w:sz w:val="19"/>
          <w:szCs w:val="19"/>
        </w:rPr>
        <w:t>/</w:t>
      </w:r>
      <w:proofErr w:type="spellStart"/>
      <w:r w:rsidRPr="006523F7">
        <w:rPr>
          <w:sz w:val="19"/>
          <w:szCs w:val="19"/>
        </w:rPr>
        <w:t>Mladenić</w:t>
      </w:r>
      <w:proofErr w:type="spellEnd"/>
      <w:r w:rsidRPr="006523F7">
        <w:rPr>
          <w:sz w:val="19"/>
          <w:szCs w:val="19"/>
        </w:rPr>
        <w:t>, D. (2019)</w:t>
      </w:r>
      <w:r w:rsidR="00F1436A">
        <w:rPr>
          <w:sz w:val="19"/>
          <w:szCs w:val="19"/>
        </w:rPr>
        <w:t>:</w:t>
      </w:r>
      <w:r w:rsidRPr="006523F7">
        <w:rPr>
          <w:sz w:val="19"/>
          <w:szCs w:val="19"/>
        </w:rPr>
        <w:t xml:space="preserve"> Cross-lingual document similarity estimation and dictionary </w:t>
      </w:r>
    </w:p>
    <w:p w:rsidR="00FC4654" w:rsidRPr="006523F7" w:rsidRDefault="00FC4654" w:rsidP="006523F7">
      <w:pPr>
        <w:autoSpaceDE w:val="0"/>
        <w:autoSpaceDN w:val="0"/>
        <w:adjustRightInd w:val="0"/>
        <w:spacing w:before="0" w:line="240" w:lineRule="auto"/>
        <w:rPr>
          <w:sz w:val="19"/>
          <w:szCs w:val="19"/>
        </w:rPr>
      </w:pPr>
      <w:r w:rsidRPr="006523F7">
        <w:rPr>
          <w:sz w:val="19"/>
          <w:szCs w:val="19"/>
        </w:rPr>
        <w:tab/>
        <w:t xml:space="preserve">generation with comparable corpora. Knowledge and Information Systems, 58, </w:t>
      </w:r>
      <w:r w:rsidR="00F1436A">
        <w:rPr>
          <w:sz w:val="19"/>
          <w:szCs w:val="19"/>
        </w:rPr>
        <w:t xml:space="preserve">pp. </w:t>
      </w:r>
      <w:r w:rsidRPr="006523F7">
        <w:rPr>
          <w:sz w:val="19"/>
          <w:szCs w:val="19"/>
        </w:rPr>
        <w:t xml:space="preserve">729-743. </w:t>
      </w:r>
    </w:p>
    <w:p w:rsidR="00FC4654" w:rsidRPr="006523F7" w:rsidRDefault="00FC4654" w:rsidP="006523F7">
      <w:pPr>
        <w:spacing w:before="0" w:line="240" w:lineRule="auto"/>
        <w:rPr>
          <w:rFonts w:eastAsia="標楷體"/>
          <w:sz w:val="19"/>
          <w:szCs w:val="19"/>
        </w:rPr>
      </w:pPr>
      <w:proofErr w:type="spellStart"/>
      <w:r w:rsidRPr="006523F7">
        <w:rPr>
          <w:rFonts w:eastAsia="標楷體" w:hint="eastAsia"/>
          <w:sz w:val="19"/>
          <w:szCs w:val="19"/>
        </w:rPr>
        <w:t>T</w:t>
      </w:r>
      <w:r w:rsidRPr="006523F7">
        <w:rPr>
          <w:rFonts w:eastAsia="標楷體"/>
          <w:sz w:val="19"/>
          <w:szCs w:val="19"/>
        </w:rPr>
        <w:t>erryn</w:t>
      </w:r>
      <w:proofErr w:type="spellEnd"/>
      <w:r w:rsidRPr="006523F7">
        <w:rPr>
          <w:rFonts w:eastAsia="標楷體"/>
          <w:sz w:val="19"/>
          <w:szCs w:val="19"/>
        </w:rPr>
        <w:t>, A. R.</w:t>
      </w:r>
      <w:r w:rsidR="00F1436A">
        <w:rPr>
          <w:rFonts w:eastAsia="標楷體"/>
          <w:sz w:val="19"/>
          <w:szCs w:val="19"/>
        </w:rPr>
        <w:t>/</w:t>
      </w:r>
      <w:proofErr w:type="spellStart"/>
      <w:r w:rsidRPr="006523F7">
        <w:rPr>
          <w:rFonts w:eastAsia="標楷體"/>
          <w:sz w:val="19"/>
          <w:szCs w:val="19"/>
        </w:rPr>
        <w:t>Hoste</w:t>
      </w:r>
      <w:proofErr w:type="spellEnd"/>
      <w:r w:rsidRPr="006523F7">
        <w:rPr>
          <w:rFonts w:eastAsia="標楷體"/>
          <w:sz w:val="19"/>
          <w:szCs w:val="19"/>
        </w:rPr>
        <w:t>, V.</w:t>
      </w:r>
      <w:r w:rsidR="00F1436A">
        <w:rPr>
          <w:rFonts w:eastAsia="標楷體"/>
          <w:sz w:val="19"/>
          <w:szCs w:val="19"/>
        </w:rPr>
        <w:t>/</w:t>
      </w:r>
      <w:r w:rsidRPr="006523F7">
        <w:rPr>
          <w:rFonts w:eastAsia="標楷體"/>
          <w:sz w:val="19"/>
          <w:szCs w:val="19"/>
        </w:rPr>
        <w:t>Lefever, E. (2020)</w:t>
      </w:r>
      <w:r w:rsidR="00F1436A">
        <w:rPr>
          <w:rFonts w:eastAsia="標楷體"/>
          <w:sz w:val="19"/>
          <w:szCs w:val="19"/>
        </w:rPr>
        <w:t>:</w:t>
      </w:r>
      <w:r w:rsidRPr="006523F7">
        <w:rPr>
          <w:rFonts w:eastAsia="標楷體"/>
          <w:sz w:val="19"/>
          <w:szCs w:val="19"/>
        </w:rPr>
        <w:t xml:space="preserve"> In no uncertain terms: a dataset for monolingual and </w:t>
      </w:r>
    </w:p>
    <w:p w:rsidR="00FC4654" w:rsidRPr="006523F7" w:rsidRDefault="00FC4654" w:rsidP="006523F7">
      <w:pPr>
        <w:spacing w:before="0" w:line="240" w:lineRule="auto"/>
        <w:rPr>
          <w:rFonts w:eastAsia="標楷體"/>
          <w:sz w:val="19"/>
          <w:szCs w:val="19"/>
        </w:rPr>
      </w:pPr>
      <w:r w:rsidRPr="006523F7">
        <w:rPr>
          <w:rFonts w:eastAsia="標楷體"/>
          <w:sz w:val="19"/>
          <w:szCs w:val="19"/>
        </w:rPr>
        <w:tab/>
        <w:t xml:space="preserve">multilingual automatic term extraction from comparable corpora. Language Resources and </w:t>
      </w:r>
    </w:p>
    <w:p w:rsidR="00FC4654" w:rsidRPr="006523F7" w:rsidRDefault="00FC4654" w:rsidP="006523F7">
      <w:pPr>
        <w:spacing w:before="0" w:line="240" w:lineRule="auto"/>
        <w:rPr>
          <w:rFonts w:eastAsia="標楷體" w:hint="eastAsia"/>
          <w:sz w:val="19"/>
          <w:szCs w:val="19"/>
        </w:rPr>
      </w:pPr>
      <w:r w:rsidRPr="006523F7">
        <w:rPr>
          <w:rFonts w:eastAsia="標楷體"/>
          <w:sz w:val="19"/>
          <w:szCs w:val="19"/>
        </w:rPr>
        <w:lastRenderedPageBreak/>
        <w:tab/>
        <w:t xml:space="preserve">Evaluation, 54(2), </w:t>
      </w:r>
      <w:r w:rsidR="00F1436A">
        <w:rPr>
          <w:rFonts w:eastAsia="標楷體"/>
          <w:sz w:val="19"/>
          <w:szCs w:val="19"/>
        </w:rPr>
        <w:t xml:space="preserve">pp. </w:t>
      </w:r>
      <w:r w:rsidRPr="006523F7">
        <w:rPr>
          <w:rFonts w:eastAsia="標楷體"/>
          <w:sz w:val="19"/>
          <w:szCs w:val="19"/>
        </w:rPr>
        <w:t xml:space="preserve">385-418. </w:t>
      </w:r>
    </w:p>
    <w:p w:rsidR="00FC4654" w:rsidRPr="006523F7" w:rsidRDefault="00FC4654" w:rsidP="006523F7">
      <w:pPr>
        <w:autoSpaceDE w:val="0"/>
        <w:autoSpaceDN w:val="0"/>
        <w:adjustRightInd w:val="0"/>
        <w:spacing w:before="0" w:line="240" w:lineRule="auto"/>
        <w:rPr>
          <w:sz w:val="19"/>
          <w:szCs w:val="19"/>
        </w:rPr>
      </w:pPr>
      <w:proofErr w:type="spellStart"/>
      <w:r w:rsidRPr="006523F7">
        <w:rPr>
          <w:sz w:val="19"/>
          <w:szCs w:val="19"/>
        </w:rPr>
        <w:t>Tongpoon-Patanasorn</w:t>
      </w:r>
      <w:proofErr w:type="spellEnd"/>
      <w:r w:rsidRPr="006523F7">
        <w:rPr>
          <w:sz w:val="19"/>
          <w:szCs w:val="19"/>
        </w:rPr>
        <w:t>, A. (2018)</w:t>
      </w:r>
      <w:r w:rsidR="00F1436A">
        <w:rPr>
          <w:sz w:val="19"/>
          <w:szCs w:val="19"/>
        </w:rPr>
        <w:t>:</w:t>
      </w:r>
      <w:r w:rsidRPr="006523F7">
        <w:rPr>
          <w:sz w:val="19"/>
          <w:szCs w:val="19"/>
        </w:rPr>
        <w:t xml:space="preserve"> Developing a </w:t>
      </w:r>
      <w:proofErr w:type="gramStart"/>
      <w:r w:rsidRPr="006523F7">
        <w:rPr>
          <w:sz w:val="19"/>
          <w:szCs w:val="19"/>
        </w:rPr>
        <w:t>frequent technical words</w:t>
      </w:r>
      <w:proofErr w:type="gramEnd"/>
      <w:r w:rsidRPr="006523F7">
        <w:rPr>
          <w:sz w:val="19"/>
          <w:szCs w:val="19"/>
        </w:rPr>
        <w:t xml:space="preserve"> list for finance: A hybrid </w:t>
      </w:r>
    </w:p>
    <w:p w:rsidR="00FC4654" w:rsidRPr="006523F7" w:rsidRDefault="00FC4654" w:rsidP="006523F7">
      <w:pPr>
        <w:autoSpaceDE w:val="0"/>
        <w:autoSpaceDN w:val="0"/>
        <w:adjustRightInd w:val="0"/>
        <w:spacing w:before="0" w:line="240" w:lineRule="auto"/>
        <w:ind w:firstLine="480"/>
        <w:rPr>
          <w:rFonts w:hint="eastAsia"/>
          <w:sz w:val="19"/>
          <w:szCs w:val="19"/>
        </w:rPr>
      </w:pPr>
      <w:r w:rsidRPr="006523F7">
        <w:rPr>
          <w:sz w:val="19"/>
          <w:szCs w:val="19"/>
        </w:rPr>
        <w:t xml:space="preserve">approach. English for Specific Purposes, 51, </w:t>
      </w:r>
      <w:r w:rsidR="00F1436A">
        <w:rPr>
          <w:sz w:val="19"/>
          <w:szCs w:val="19"/>
        </w:rPr>
        <w:t xml:space="preserve">pp. </w:t>
      </w:r>
      <w:r w:rsidRPr="006523F7">
        <w:rPr>
          <w:sz w:val="19"/>
          <w:szCs w:val="19"/>
        </w:rPr>
        <w:t xml:space="preserve">45-54. </w:t>
      </w:r>
    </w:p>
    <w:p w:rsidR="00AB181E" w:rsidRDefault="00224AA6">
      <w:pPr>
        <w:pStyle w:val="1"/>
      </w:pPr>
      <w:r>
        <w:t>Contact information</w:t>
      </w:r>
    </w:p>
    <w:p w:rsidR="00A21D39" w:rsidRDefault="00A21D39" w:rsidP="00A21D39">
      <w:proofErr w:type="spellStart"/>
      <w:r w:rsidRPr="00E37AF7">
        <w:rPr>
          <w:b/>
        </w:rPr>
        <w:t>Hsin</w:t>
      </w:r>
      <w:proofErr w:type="spellEnd"/>
      <w:r w:rsidRPr="00E37AF7">
        <w:rPr>
          <w:b/>
        </w:rPr>
        <w:t>-Yi Lien</w:t>
      </w:r>
      <w:r>
        <w:t xml:space="preserve"> </w:t>
      </w:r>
    </w:p>
    <w:p w:rsidR="00A21D39" w:rsidRDefault="00A21D39" w:rsidP="00A21D39">
      <w:r>
        <w:t xml:space="preserve">Graduate School of Education, Ming </w:t>
      </w:r>
      <w:proofErr w:type="spellStart"/>
      <w:r>
        <w:t>Chuan</w:t>
      </w:r>
      <w:proofErr w:type="spellEnd"/>
      <w:r>
        <w:t xml:space="preserve"> University</w:t>
      </w:r>
    </w:p>
    <w:p w:rsidR="00A21D39" w:rsidRDefault="00A21D39" w:rsidP="00A21D39">
      <w:hyperlink r:id="rId7" w:history="1">
        <w:r w:rsidRPr="00371FB4">
          <w:rPr>
            <w:rStyle w:val="af0"/>
          </w:rPr>
          <w:t>maggielien61@gmail.com</w:t>
        </w:r>
      </w:hyperlink>
    </w:p>
    <w:p w:rsidR="00AB181E" w:rsidRDefault="00AB181E">
      <w:pPr>
        <w:pStyle w:val="Literaturverzeichnis1"/>
        <w:ind w:left="0" w:firstLine="0"/>
      </w:pPr>
    </w:p>
    <w:p w:rsidR="00AB181E" w:rsidRDefault="00AB181E">
      <w:pPr>
        <w:pStyle w:val="Literaturverzeichnis1"/>
        <w:ind w:left="0" w:firstLine="0"/>
      </w:pPr>
    </w:p>
    <w:sectPr w:rsidR="00AB181E">
      <w:footerReference w:type="default" r:id="rId8"/>
      <w:pgSz w:w="11906" w:h="16838"/>
      <w:pgMar w:top="1814" w:right="1871" w:bottom="2155" w:left="1871" w:header="1134" w:footer="1134"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247" w:rsidRDefault="00704247">
      <w:pPr>
        <w:spacing w:before="0" w:line="240" w:lineRule="auto"/>
      </w:pPr>
      <w:r>
        <w:separator/>
      </w:r>
    </w:p>
  </w:endnote>
  <w:endnote w:type="continuationSeparator" w:id="0">
    <w:p w:rsidR="00704247" w:rsidRDefault="0070424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tinus Serif">
    <w:altName w:val="Calibri"/>
    <w:panose1 w:val="020B0604020202020204"/>
    <w:charset w:val="00"/>
    <w:family w:val="modern"/>
    <w:notTrueType/>
    <w:pitch w:val="variable"/>
    <w:sig w:usb0="E0000AFF" w:usb1="0200E5FB" w:usb2="01000020" w:usb3="00000000" w:csb0="000001BF" w:csb1="00000000"/>
  </w:font>
  <w:font w:name="Fira Sans">
    <w:altName w:val="Calibri"/>
    <w:panose1 w:val="020B0604020202020204"/>
    <w:charset w:val="00"/>
    <w:family w:val="swiss"/>
    <w:notTrueType/>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Cambria"/>
    <w:panose1 w:val="020B0604020202020204"/>
    <w:charset w:val="00"/>
    <w:family w:val="roman"/>
    <w:notTrueType/>
    <w:pitch w:val="default"/>
  </w:font>
  <w:font w:name="Droid Sans Devanagari">
    <w:altName w:val="Times New Roman"/>
    <w:panose1 w:val="020B0604020202020204"/>
    <w:charset w:val="00"/>
    <w:family w:val="swiss"/>
    <w:pitch w:val="variable"/>
    <w:sig w:usb0="00000003" w:usb1="00000000" w:usb2="00000000" w:usb3="00000000" w:csb0="00000001" w:csb1="00000000"/>
  </w:font>
  <w:font w:name="標楷體">
    <w:panose1 w:val="02010601000101010101"/>
    <w:charset w:val="88"/>
    <w:family w:val="auto"/>
    <w:pitch w:val="variable"/>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81E" w:rsidRDefault="00224AA6" w:rsidP="00694682">
    <w:pPr>
      <w:pStyle w:val="af"/>
      <w:jc w:val="right"/>
    </w:pPr>
    <w:r>
      <w:rPr>
        <w:rStyle w:val="af1"/>
        <w:rFonts w:cs="Libertinus Serif"/>
      </w:rPr>
      <w:fldChar w:fldCharType="begin"/>
    </w:r>
    <w:r>
      <w:rPr>
        <w:rStyle w:val="af1"/>
        <w:rFonts w:cs="Libertinus Serif"/>
      </w:rPr>
      <w:instrText xml:space="preserve"> PAGE </w:instrText>
    </w:r>
    <w:r>
      <w:rPr>
        <w:rStyle w:val="af1"/>
        <w:rFonts w:cs="Libertinus Serif"/>
      </w:rPr>
      <w:fldChar w:fldCharType="separate"/>
    </w:r>
    <w:r w:rsidR="004C5262">
      <w:rPr>
        <w:rStyle w:val="af1"/>
        <w:rFonts w:cs="Libertinus Serif"/>
        <w:noProof/>
      </w:rPr>
      <w:t>3</w:t>
    </w:r>
    <w:r>
      <w:rPr>
        <w:rStyle w:val="af1"/>
        <w:rFonts w:cs="Libertinus Serif"/>
      </w:rPr>
      <w:fldChar w:fldCharType="end"/>
    </w:r>
  </w:p>
  <w:p w:rsidR="00AB181E" w:rsidRDefault="00AB181E">
    <w:pPr>
      <w:pStyle w:val="af"/>
    </w:pPr>
  </w:p>
  <w:p w:rsidR="00AB181E" w:rsidRDefault="00AB18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247" w:rsidRDefault="00704247">
      <w:pPr>
        <w:rPr>
          <w:sz w:val="12"/>
        </w:rPr>
      </w:pPr>
      <w:r>
        <w:separator/>
      </w:r>
    </w:p>
  </w:footnote>
  <w:footnote w:type="continuationSeparator" w:id="0">
    <w:p w:rsidR="00704247" w:rsidRDefault="00704247">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3A14"/>
    <w:multiLevelType w:val="multilevel"/>
    <w:tmpl w:val="B198A20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08CE7DAE"/>
    <w:multiLevelType w:val="multilevel"/>
    <w:tmpl w:val="8B06C76A"/>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15:restartNumberingAfterBreak="0">
    <w:nsid w:val="26C33E57"/>
    <w:multiLevelType w:val="multilevel"/>
    <w:tmpl w:val="E422A204"/>
    <w:lvl w:ilvl="0">
      <w:start w:val="1"/>
      <w:numFmt w:val="decimal"/>
      <w:pStyle w:val="Example"/>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embedTrueTypeFonts/>
  <w:bordersDoNotSurroundHeader/>
  <w:bordersDoNotSurroundFooter/>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81E"/>
    <w:rsid w:val="000F11EC"/>
    <w:rsid w:val="00224AA6"/>
    <w:rsid w:val="00227F60"/>
    <w:rsid w:val="002F3040"/>
    <w:rsid w:val="00310E42"/>
    <w:rsid w:val="004C5262"/>
    <w:rsid w:val="006523F7"/>
    <w:rsid w:val="00694682"/>
    <w:rsid w:val="00704247"/>
    <w:rsid w:val="00717483"/>
    <w:rsid w:val="008D1C10"/>
    <w:rsid w:val="009D4AD9"/>
    <w:rsid w:val="00A21D39"/>
    <w:rsid w:val="00A54BA3"/>
    <w:rsid w:val="00AB181E"/>
    <w:rsid w:val="00B22F8E"/>
    <w:rsid w:val="00C425D1"/>
    <w:rsid w:val="00DB1137"/>
    <w:rsid w:val="00E856DF"/>
    <w:rsid w:val="00F1436A"/>
    <w:rsid w:val="00F47A0D"/>
    <w:rsid w:val="00FC4654"/>
    <w:rsid w:val="00FF30E4"/>
    <w:rsid w:val="00FF78B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E8F3"/>
  <w15:docId w15:val="{A5C6F58D-BA9C-4292-B2A5-AAC74F65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ahoma"/>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val="0"/>
      <w:spacing w:before="113" w:line="280" w:lineRule="exact"/>
      <w:jc w:val="both"/>
    </w:pPr>
    <w:rPr>
      <w:rFonts w:ascii="Libertinus Serif" w:hAnsi="Libertinus Serif"/>
    </w:rPr>
  </w:style>
  <w:style w:type="paragraph" w:styleId="1">
    <w:name w:val="heading 1"/>
    <w:basedOn w:val="a"/>
    <w:next w:val="a"/>
    <w:link w:val="10"/>
    <w:qFormat/>
    <w:pPr>
      <w:keepNext/>
      <w:keepLines/>
      <w:spacing w:before="340" w:after="113" w:line="360" w:lineRule="exact"/>
      <w:outlineLvl w:val="0"/>
    </w:pPr>
    <w:rPr>
      <w:rFonts w:ascii="Fira Sans" w:hAnsi="Fira Sans"/>
      <w:b/>
      <w:color w:val="4FAF4A"/>
      <w:sz w:val="28"/>
      <w:szCs w:val="32"/>
    </w:rPr>
  </w:style>
  <w:style w:type="paragraph" w:styleId="2">
    <w:name w:val="heading 2"/>
    <w:basedOn w:val="a"/>
    <w:next w:val="a"/>
    <w:link w:val="20"/>
    <w:qFormat/>
    <w:pPr>
      <w:keepNext/>
      <w:keepLines/>
      <w:spacing w:before="340" w:after="113" w:line="340" w:lineRule="exact"/>
      <w:outlineLvl w:val="1"/>
    </w:pPr>
    <w:rPr>
      <w:rFonts w:ascii="Fira Sans" w:hAnsi="Fira Sans"/>
      <w:b/>
      <w:color w:val="4FAF4A"/>
      <w:sz w:val="26"/>
      <w:szCs w:val="26"/>
    </w:rPr>
  </w:style>
  <w:style w:type="paragraph" w:styleId="3">
    <w:name w:val="heading 3"/>
    <w:basedOn w:val="a"/>
    <w:next w:val="a"/>
    <w:link w:val="30"/>
    <w:qFormat/>
    <w:pPr>
      <w:keepNext/>
      <w:keepLines/>
      <w:spacing w:before="227" w:after="113" w:line="320" w:lineRule="exact"/>
      <w:outlineLvl w:val="2"/>
    </w:pPr>
    <w:rPr>
      <w:rFonts w:ascii="Fira Sans" w:hAnsi="Fira Sans"/>
      <w:color w:val="4FAF4A"/>
      <w:sz w:val="24"/>
      <w:szCs w:val="24"/>
    </w:rPr>
  </w:style>
  <w:style w:type="paragraph" w:styleId="4">
    <w:name w:val="heading 4"/>
    <w:basedOn w:val="a"/>
    <w:next w:val="a"/>
    <w:link w:val="40"/>
    <w:qFormat/>
    <w:pPr>
      <w:keepNext/>
      <w:keepLines/>
      <w:spacing w:before="227"/>
      <w:outlineLvl w:val="3"/>
    </w:pPr>
    <w:rPr>
      <w:rFonts w:ascii="Fira Sans" w:hAnsi="Fira Sans"/>
      <w:iCs/>
      <w:color w:val="4FAF4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qFormat/>
    <w:rPr>
      <w:rFonts w:ascii="Fira Sans" w:eastAsia="Calibri" w:hAnsi="Fira Sans" w:cs="Tahoma"/>
      <w:b/>
      <w:color w:val="F79646"/>
      <w:sz w:val="28"/>
      <w:szCs w:val="32"/>
    </w:rPr>
  </w:style>
  <w:style w:type="character" w:customStyle="1" w:styleId="20">
    <w:name w:val="標題 2 字元"/>
    <w:basedOn w:val="a0"/>
    <w:link w:val="2"/>
    <w:qFormat/>
    <w:rPr>
      <w:rFonts w:ascii="Fira Sans" w:eastAsia="Calibri" w:hAnsi="Fira Sans" w:cs="Tahoma"/>
      <w:b/>
      <w:color w:val="F79646"/>
      <w:sz w:val="26"/>
      <w:szCs w:val="26"/>
    </w:rPr>
  </w:style>
  <w:style w:type="character" w:customStyle="1" w:styleId="30">
    <w:name w:val="標題 3 字元"/>
    <w:basedOn w:val="a0"/>
    <w:link w:val="3"/>
    <w:qFormat/>
    <w:rPr>
      <w:rFonts w:ascii="Fira Sans" w:eastAsia="Calibri" w:hAnsi="Fira Sans" w:cs="Tahoma"/>
      <w:color w:val="F79646"/>
      <w:sz w:val="24"/>
      <w:szCs w:val="24"/>
    </w:rPr>
  </w:style>
  <w:style w:type="character" w:customStyle="1" w:styleId="40">
    <w:name w:val="標題 4 字元"/>
    <w:basedOn w:val="a0"/>
    <w:link w:val="4"/>
    <w:qFormat/>
    <w:rPr>
      <w:rFonts w:ascii="Fira Sans" w:eastAsia="Calibri" w:hAnsi="Fira Sans" w:cs="Tahoma"/>
      <w:iCs/>
      <w:color w:val="F79646"/>
    </w:rPr>
  </w:style>
  <w:style w:type="character" w:customStyle="1" w:styleId="a3">
    <w:name w:val="標題 字元"/>
    <w:basedOn w:val="a0"/>
    <w:link w:val="a4"/>
    <w:qFormat/>
    <w:rsid w:val="00227F60"/>
    <w:rPr>
      <w:rFonts w:ascii="Fira Sans" w:hAnsi="Fira Sans"/>
      <w:b/>
      <w:color w:val="4FAF4A"/>
      <w:sz w:val="38"/>
      <w:szCs w:val="56"/>
    </w:rPr>
  </w:style>
  <w:style w:type="character" w:styleId="a5">
    <w:name w:val="Strong"/>
    <w:basedOn w:val="a0"/>
    <w:qFormat/>
    <w:rPr>
      <w:b/>
      <w:bCs/>
    </w:rPr>
  </w:style>
  <w:style w:type="character" w:styleId="a6">
    <w:name w:val="Emphasis"/>
    <w:basedOn w:val="a0"/>
    <w:qFormat/>
    <w:rPr>
      <w:i/>
      <w:iCs/>
    </w:rPr>
  </w:style>
  <w:style w:type="character" w:styleId="a7">
    <w:name w:val="Intense Emphasis"/>
    <w:basedOn w:val="a0"/>
    <w:qFormat/>
    <w:rPr>
      <w:rFonts w:ascii="Libertinus Serif" w:hAnsi="Libertinus Serif"/>
      <w:b/>
      <w:bCs/>
      <w:i/>
      <w:iCs/>
      <w:color w:val="auto"/>
    </w:rPr>
  </w:style>
  <w:style w:type="character" w:customStyle="1" w:styleId="a8">
    <w:name w:val="引文 字元"/>
    <w:basedOn w:val="a0"/>
    <w:link w:val="a9"/>
    <w:qFormat/>
    <w:rPr>
      <w:rFonts w:ascii="Libertinus Serif" w:hAnsi="Libertinus Serif"/>
      <w:iCs/>
      <w:sz w:val="20"/>
    </w:rPr>
  </w:style>
  <w:style w:type="character" w:customStyle="1" w:styleId="aa">
    <w:name w:val="副標題 字元"/>
    <w:basedOn w:val="a0"/>
    <w:link w:val="ab"/>
    <w:qFormat/>
    <w:rsid w:val="004C5262"/>
    <w:rPr>
      <w:rFonts w:ascii="Fira Sans" w:hAnsi="Fira Sans"/>
      <w:b/>
      <w:color w:val="5A5A5A"/>
      <w:spacing w:val="16"/>
      <w:sz w:val="28"/>
    </w:rPr>
  </w:style>
  <w:style w:type="character" w:customStyle="1" w:styleId="ac">
    <w:name w:val="頁首 字元"/>
    <w:basedOn w:val="a0"/>
    <w:link w:val="ad"/>
    <w:qFormat/>
    <w:rPr>
      <w:rFonts w:ascii="Times New Roman" w:hAnsi="Times New Roman"/>
      <w:sz w:val="24"/>
    </w:rPr>
  </w:style>
  <w:style w:type="character" w:customStyle="1" w:styleId="ae">
    <w:name w:val="頁尾 字元"/>
    <w:basedOn w:val="a0"/>
    <w:link w:val="af"/>
    <w:qFormat/>
    <w:rPr>
      <w:rFonts w:ascii="Times New Roman" w:hAnsi="Times New Roman"/>
      <w:sz w:val="24"/>
    </w:rPr>
  </w:style>
  <w:style w:type="character" w:customStyle="1" w:styleId="Funotenzeichen-Text">
    <w:name w:val="Fußnotenzeichen-Text"/>
    <w:qFormat/>
    <w:rPr>
      <w:vertAlign w:val="superscript"/>
    </w:rPr>
  </w:style>
  <w:style w:type="character" w:styleId="af0">
    <w:name w:val="Hyperlink"/>
    <w:basedOn w:val="a0"/>
    <w:rPr>
      <w:color w:val="000080"/>
      <w:w w:val="100"/>
      <w:u w:val="thick" w:color="000080"/>
    </w:rPr>
  </w:style>
  <w:style w:type="character" w:styleId="af1">
    <w:name w:val="page number"/>
    <w:basedOn w:val="a0"/>
    <w:qFormat/>
  </w:style>
  <w:style w:type="character" w:customStyle="1" w:styleId="af2">
    <w:name w:val="註腳文字 字元"/>
    <w:basedOn w:val="a0"/>
    <w:link w:val="af3"/>
    <w:qFormat/>
    <w:rPr>
      <w:rFonts w:ascii="Times New Roman" w:hAnsi="Times New Roman"/>
      <w:sz w:val="20"/>
      <w:szCs w:val="20"/>
    </w:rPr>
  </w:style>
  <w:style w:type="character" w:customStyle="1" w:styleId="af4">
    <w:name w:val="鮮明引文 字元"/>
    <w:basedOn w:val="a0"/>
    <w:link w:val="af5"/>
    <w:qFormat/>
    <w:rPr>
      <w:rFonts w:ascii="Libertinus Serif" w:hAnsi="Libertinus Serif"/>
      <w:bCs/>
      <w:sz w:val="20"/>
    </w:rPr>
  </w:style>
  <w:style w:type="character" w:customStyle="1" w:styleId="KapitlchenSmallCapital">
    <w:name w:val="Kapitälchen/Small Capital"/>
    <w:basedOn w:val="a0"/>
    <w:qFormat/>
    <w:rPr>
      <w:smallCaps/>
    </w:rPr>
  </w:style>
  <w:style w:type="character" w:customStyle="1" w:styleId="Aufzhlungszeichen1">
    <w:name w:val="Aufzählungszeichen1"/>
    <w:qFormat/>
    <w:rPr>
      <w:rFonts w:ascii="OpenSymbol" w:eastAsia="OpenSymbol" w:hAnsi="OpenSymbol" w:cs="OpenSymbol"/>
    </w:rPr>
  </w:style>
  <w:style w:type="character" w:styleId="af6">
    <w:name w:val="footnote reference"/>
    <w:rPr>
      <w:vertAlign w:val="superscript"/>
    </w:rPr>
  </w:style>
  <w:style w:type="character" w:styleId="af7">
    <w:name w:val="endnote reference"/>
    <w:rPr>
      <w:vertAlign w:val="superscript"/>
    </w:rPr>
  </w:style>
  <w:style w:type="character" w:customStyle="1" w:styleId="af8">
    <w:name w:val="註解方塊文字 字元"/>
    <w:basedOn w:val="a0"/>
    <w:link w:val="af9"/>
    <w:qFormat/>
    <w:rPr>
      <w:rFonts w:ascii="Tahoma" w:hAnsi="Tahoma" w:cs="Tahoma"/>
      <w:sz w:val="16"/>
      <w:szCs w:val="16"/>
    </w:rPr>
  </w:style>
  <w:style w:type="paragraph" w:customStyle="1" w:styleId="berschrift">
    <w:name w:val="Überschrift"/>
    <w:basedOn w:val="1"/>
    <w:next w:val="afa"/>
    <w:qFormat/>
    <w:pPr>
      <w:spacing w:before="240" w:after="120"/>
    </w:pPr>
    <w:rPr>
      <w:rFonts w:ascii="Liberation Sans" w:eastAsia="Noto Sans CJK SC" w:hAnsi="Liberation Sans" w:cs="Droid Sans Devanagari"/>
      <w:szCs w:val="28"/>
    </w:rPr>
  </w:style>
  <w:style w:type="paragraph" w:styleId="afa">
    <w:name w:val="Body Text"/>
    <w:basedOn w:val="a"/>
    <w:pPr>
      <w:spacing w:before="0" w:after="140" w:line="276" w:lineRule="auto"/>
    </w:pPr>
  </w:style>
  <w:style w:type="paragraph" w:styleId="afb">
    <w:name w:val="List"/>
    <w:basedOn w:val="afa"/>
    <w:rPr>
      <w:rFonts w:cs="Droid Sans Devanagari"/>
    </w:rPr>
  </w:style>
  <w:style w:type="paragraph" w:styleId="afc">
    <w:name w:val="caption"/>
    <w:basedOn w:val="a"/>
    <w:qFormat/>
    <w:pPr>
      <w:suppressLineNumbers/>
      <w:spacing w:after="227" w:line="232" w:lineRule="exact"/>
    </w:pPr>
    <w:rPr>
      <w:rFonts w:cs="Droid Sans Devanagari"/>
      <w:iCs/>
      <w:sz w:val="19"/>
      <w:szCs w:val="24"/>
    </w:rPr>
  </w:style>
  <w:style w:type="paragraph" w:customStyle="1" w:styleId="Verzeichnis">
    <w:name w:val="Verzeichnis"/>
    <w:basedOn w:val="a"/>
    <w:qFormat/>
    <w:pPr>
      <w:suppressLineNumbers/>
    </w:pPr>
    <w:rPr>
      <w:rFonts w:cs="Droid Sans Devanagari"/>
    </w:rPr>
  </w:style>
  <w:style w:type="paragraph" w:styleId="a4">
    <w:name w:val="Title"/>
    <w:basedOn w:val="a"/>
    <w:next w:val="a"/>
    <w:link w:val="a3"/>
    <w:qFormat/>
    <w:rsid w:val="00227F60"/>
    <w:pPr>
      <w:suppressAutoHyphens/>
      <w:spacing w:before="170" w:after="340" w:line="440" w:lineRule="exact"/>
      <w:contextualSpacing/>
      <w:jc w:val="center"/>
    </w:pPr>
    <w:rPr>
      <w:rFonts w:ascii="Fira Sans" w:hAnsi="Fira Sans"/>
      <w:b/>
      <w:color w:val="4FAF4A"/>
      <w:sz w:val="38"/>
      <w:szCs w:val="56"/>
    </w:rPr>
  </w:style>
  <w:style w:type="paragraph" w:styleId="a9">
    <w:name w:val="Quote"/>
    <w:basedOn w:val="a"/>
    <w:next w:val="a"/>
    <w:link w:val="a8"/>
    <w:qFormat/>
    <w:pPr>
      <w:spacing w:line="250" w:lineRule="exact"/>
      <w:ind w:left="794" w:right="794"/>
    </w:pPr>
    <w:rPr>
      <w:iCs/>
      <w:sz w:val="20"/>
    </w:rPr>
  </w:style>
  <w:style w:type="paragraph" w:styleId="ab">
    <w:name w:val="Subtitle"/>
    <w:basedOn w:val="a"/>
    <w:next w:val="a"/>
    <w:link w:val="aa"/>
    <w:qFormat/>
    <w:rsid w:val="004C5262"/>
    <w:pPr>
      <w:suppressAutoHyphens/>
      <w:spacing w:before="0" w:after="340" w:line="320" w:lineRule="exact"/>
      <w:contextualSpacing/>
      <w:jc w:val="center"/>
    </w:pPr>
    <w:rPr>
      <w:rFonts w:ascii="Fira Sans" w:hAnsi="Fira Sans"/>
      <w:b/>
      <w:color w:val="5A5A5A"/>
      <w:spacing w:val="16"/>
      <w:sz w:val="28"/>
    </w:rPr>
  </w:style>
  <w:style w:type="paragraph" w:customStyle="1" w:styleId="Author">
    <w:name w:val="Author"/>
    <w:basedOn w:val="a4"/>
    <w:qFormat/>
    <w:pPr>
      <w:spacing w:before="0" w:line="340" w:lineRule="exact"/>
    </w:pPr>
    <w:rPr>
      <w:b w:val="0"/>
      <w:color w:val="auto"/>
      <w:sz w:val="26"/>
    </w:rPr>
  </w:style>
  <w:style w:type="paragraph" w:styleId="afd">
    <w:name w:val="List Paragraph"/>
    <w:basedOn w:val="a"/>
    <w:qFormat/>
    <w:pPr>
      <w:tabs>
        <w:tab w:val="left" w:pos="0"/>
      </w:tabs>
      <w:ind w:left="284" w:hanging="284"/>
      <w:contextualSpacing/>
    </w:pPr>
  </w:style>
  <w:style w:type="paragraph" w:customStyle="1" w:styleId="Example">
    <w:name w:val="Example"/>
    <w:basedOn w:val="a"/>
    <w:qFormat/>
    <w:rsid w:val="00A54BA3"/>
    <w:pPr>
      <w:numPr>
        <w:numId w:val="3"/>
      </w:numPr>
      <w:spacing w:before="57" w:after="57" w:line="240" w:lineRule="exact"/>
      <w:ind w:left="454" w:hanging="454"/>
    </w:pPr>
    <w:rPr>
      <w:sz w:val="20"/>
    </w:rPr>
  </w:style>
  <w:style w:type="paragraph" w:customStyle="1" w:styleId="Kopf-undFuzeile">
    <w:name w:val="Kopf- und Fußzeile"/>
    <w:basedOn w:val="a"/>
    <w:qFormat/>
  </w:style>
  <w:style w:type="paragraph" w:styleId="ad">
    <w:name w:val="header"/>
    <w:basedOn w:val="a"/>
    <w:link w:val="ac"/>
    <w:pPr>
      <w:tabs>
        <w:tab w:val="center" w:pos="4536"/>
        <w:tab w:val="right" w:pos="9072"/>
      </w:tabs>
      <w:spacing w:before="0" w:line="240" w:lineRule="auto"/>
    </w:pPr>
  </w:style>
  <w:style w:type="paragraph" w:styleId="af">
    <w:name w:val="footer"/>
    <w:basedOn w:val="a"/>
    <w:link w:val="ae"/>
    <w:pPr>
      <w:tabs>
        <w:tab w:val="center" w:pos="4536"/>
        <w:tab w:val="right" w:pos="9072"/>
      </w:tabs>
      <w:spacing w:before="0" w:line="240" w:lineRule="auto"/>
    </w:pPr>
  </w:style>
  <w:style w:type="paragraph" w:customStyle="1" w:styleId="FunoteFootnote">
    <w:name w:val="Fußnote/Footnote"/>
    <w:basedOn w:val="af3"/>
    <w:qFormat/>
    <w:pPr>
      <w:tabs>
        <w:tab w:val="left" w:pos="283"/>
      </w:tabs>
      <w:spacing w:line="230" w:lineRule="atLeast"/>
      <w:ind w:left="284" w:hanging="284"/>
      <w:textAlignment w:val="center"/>
    </w:pPr>
    <w:rPr>
      <w:rFonts w:cs="Times New Roman"/>
    </w:rPr>
  </w:style>
  <w:style w:type="paragraph" w:styleId="af3">
    <w:name w:val="footnote text"/>
    <w:basedOn w:val="a"/>
    <w:link w:val="af2"/>
    <w:pPr>
      <w:spacing w:before="0" w:line="232" w:lineRule="exact"/>
      <w:ind w:left="283" w:hanging="283"/>
    </w:pPr>
    <w:rPr>
      <w:sz w:val="19"/>
      <w:szCs w:val="20"/>
    </w:rPr>
  </w:style>
  <w:style w:type="paragraph" w:customStyle="1" w:styleId="Keywords">
    <w:name w:val="Keywords"/>
    <w:basedOn w:val="a"/>
    <w:qFormat/>
    <w:rPr>
      <w:sz w:val="20"/>
    </w:rPr>
  </w:style>
  <w:style w:type="paragraph" w:styleId="af5">
    <w:name w:val="Intense Quote"/>
    <w:basedOn w:val="a9"/>
    <w:next w:val="a"/>
    <w:link w:val="af4"/>
    <w:qFormat/>
    <w:rPr>
      <w:bCs/>
      <w:iCs w:val="0"/>
    </w:rPr>
  </w:style>
  <w:style w:type="paragraph" w:customStyle="1" w:styleId="ReferenceEntry">
    <w:name w:val="Reference Entry"/>
    <w:basedOn w:val="a"/>
    <w:qFormat/>
    <w:pPr>
      <w:spacing w:before="28" w:line="193" w:lineRule="atLeast"/>
      <w:ind w:left="283" w:hanging="283"/>
      <w:jc w:val="left"/>
      <w:textAlignment w:val="center"/>
    </w:pPr>
    <w:rPr>
      <w:rFonts w:cs="Libertinus Serif"/>
      <w:sz w:val="19"/>
      <w:szCs w:val="20"/>
    </w:rPr>
  </w:style>
  <w:style w:type="paragraph" w:customStyle="1" w:styleId="HngenderEinzug">
    <w:name w:val="Hängender Einzug"/>
    <w:basedOn w:val="afa"/>
    <w:qFormat/>
    <w:pPr>
      <w:spacing w:after="0"/>
      <w:ind w:left="283" w:hanging="283"/>
    </w:pPr>
  </w:style>
  <w:style w:type="paragraph" w:customStyle="1" w:styleId="Tabelleninhalt">
    <w:name w:val="Tabelleninhalt"/>
    <w:basedOn w:val="a"/>
    <w:qFormat/>
    <w:pPr>
      <w:widowControl w:val="0"/>
      <w:suppressLineNumbers/>
      <w:spacing w:after="57" w:line="232" w:lineRule="exact"/>
    </w:pPr>
    <w:rPr>
      <w:sz w:val="19"/>
    </w:rPr>
  </w:style>
  <w:style w:type="paragraph" w:customStyle="1" w:styleId="Tabellenberschrift">
    <w:name w:val="Tabellenüberschrift"/>
    <w:basedOn w:val="Tabelleninhalt"/>
    <w:qFormat/>
    <w:pPr>
      <w:jc w:val="left"/>
    </w:pPr>
    <w:rPr>
      <w:b/>
      <w:bCs/>
    </w:rPr>
  </w:style>
  <w:style w:type="paragraph" w:customStyle="1" w:styleId="Literaturverzeichnis1">
    <w:name w:val="Literaturverzeichnis 1"/>
    <w:basedOn w:val="Verzeichnis"/>
    <w:qFormat/>
    <w:pPr>
      <w:spacing w:before="0" w:line="240" w:lineRule="atLeast"/>
      <w:ind w:left="720" w:hanging="720"/>
    </w:pPr>
    <w:rPr>
      <w:sz w:val="19"/>
    </w:rPr>
  </w:style>
  <w:style w:type="paragraph" w:styleId="afe">
    <w:name w:val="index heading"/>
    <w:basedOn w:val="1"/>
    <w:autoRedefine/>
  </w:style>
  <w:style w:type="paragraph" w:styleId="aff">
    <w:name w:val="table of authorities"/>
    <w:basedOn w:val="1"/>
    <w:autoRedefine/>
    <w:rsid w:val="00A21D39"/>
    <w:pPr>
      <w:suppressLineNumbers/>
    </w:pPr>
  </w:style>
  <w:style w:type="paragraph" w:styleId="aff0">
    <w:name w:val="Closing"/>
    <w:basedOn w:val="berschrift"/>
    <w:next w:val="afa"/>
    <w:qFormat/>
    <w:pPr>
      <w:jc w:val="center"/>
    </w:pPr>
    <w:rPr>
      <w:bCs/>
      <w:szCs w:val="32"/>
    </w:rPr>
  </w:style>
  <w:style w:type="paragraph" w:styleId="aff1">
    <w:name w:val="TOC Heading"/>
    <w:basedOn w:val="afe"/>
  </w:style>
  <w:style w:type="paragraph" w:customStyle="1" w:styleId="Abbildungsindexberschriften">
    <w:name w:val="Abbildungsindex Überschriften"/>
    <w:basedOn w:val="afe"/>
    <w:qFormat/>
  </w:style>
  <w:style w:type="paragraph" w:customStyle="1" w:styleId="OLtext">
    <w:name w:val="OL text"/>
    <w:basedOn w:val="a"/>
    <w:qFormat/>
    <w:pPr>
      <w:spacing w:before="0" w:line="240" w:lineRule="exact"/>
    </w:pPr>
    <w:rPr>
      <w:rFonts w:ascii="Times New Roman" w:eastAsia="Times New Roman" w:hAnsi="Times New Roman" w:cs="Times New Roman"/>
      <w:sz w:val="20"/>
      <w:szCs w:val="20"/>
      <w:lang w:val="en-US"/>
    </w:rPr>
  </w:style>
  <w:style w:type="paragraph" w:customStyle="1" w:styleId="OLtextindented">
    <w:name w:val="OL text indented"/>
    <w:basedOn w:val="OLtext"/>
    <w:qFormat/>
    <w:pPr>
      <w:ind w:firstLine="240"/>
    </w:pPr>
  </w:style>
  <w:style w:type="paragraph" w:customStyle="1" w:styleId="OLexamplesecondglossline">
    <w:name w:val="OL example second gloss line"/>
    <w:basedOn w:val="a"/>
    <w:qFormat/>
    <w:pPr>
      <w:keepNext/>
      <w:spacing w:before="0" w:line="240" w:lineRule="auto"/>
      <w:jc w:val="left"/>
    </w:pPr>
    <w:rPr>
      <w:rFonts w:ascii="Times New Roman" w:eastAsia="Times New Roman" w:hAnsi="Times New Roman" w:cs="Times New Roman"/>
      <w:sz w:val="16"/>
      <w:szCs w:val="16"/>
      <w:lang w:val="en-US"/>
    </w:rPr>
  </w:style>
  <w:style w:type="paragraph" w:customStyle="1" w:styleId="OL3ptseparator">
    <w:name w:val="OL 3pt separator"/>
    <w:basedOn w:val="a"/>
    <w:qFormat/>
    <w:pPr>
      <w:spacing w:before="0" w:line="240" w:lineRule="auto"/>
      <w:jc w:val="left"/>
    </w:pPr>
    <w:rPr>
      <w:rFonts w:ascii="Times New Roman" w:eastAsia="Times New Roman" w:hAnsi="Times New Roman" w:cs="Times New Roman"/>
      <w:sz w:val="6"/>
      <w:szCs w:val="6"/>
      <w:lang w:val="en-AU"/>
    </w:rPr>
  </w:style>
  <w:style w:type="paragraph" w:customStyle="1" w:styleId="OLfootnote">
    <w:name w:val="OL footnote"/>
    <w:basedOn w:val="OLtext"/>
    <w:qFormat/>
    <w:pPr>
      <w:spacing w:line="180" w:lineRule="exact"/>
      <w:ind w:left="240" w:hanging="240"/>
    </w:pPr>
    <w:rPr>
      <w:sz w:val="16"/>
    </w:rPr>
  </w:style>
  <w:style w:type="paragraph" w:customStyle="1" w:styleId="OLexamplesource">
    <w:name w:val="OL example source"/>
    <w:basedOn w:val="OLtext"/>
    <w:qFormat/>
    <w:pPr>
      <w:jc w:val="right"/>
    </w:pPr>
  </w:style>
  <w:style w:type="paragraph" w:styleId="af9">
    <w:name w:val="Balloon Text"/>
    <w:basedOn w:val="a"/>
    <w:link w:val="af8"/>
    <w:qFormat/>
    <w:pPr>
      <w:spacing w:before="0" w:line="240" w:lineRule="auto"/>
    </w:pPr>
    <w:rPr>
      <w:rFonts w:ascii="Tahoma" w:hAnsi="Tahoma"/>
      <w:sz w:val="16"/>
      <w:szCs w:val="16"/>
    </w:rPr>
  </w:style>
  <w:style w:type="character" w:styleId="aff2">
    <w:name w:val="Unresolved Mention"/>
    <w:basedOn w:val="a0"/>
    <w:uiPriority w:val="99"/>
    <w:semiHidden/>
    <w:unhideWhenUsed/>
    <w:rsid w:val="00A21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ggielien6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1512</Words>
  <Characters>8624</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Kupietz</dc:creator>
  <dc:description/>
  <cp:lastModifiedBy>maggie lien</cp:lastModifiedBy>
  <cp:revision>5</cp:revision>
  <cp:lastPrinted>2023-03-11T11:57:00Z</cp:lastPrinted>
  <dcterms:created xsi:type="dcterms:W3CDTF">2023-04-14T14:11:00Z</dcterms:created>
  <dcterms:modified xsi:type="dcterms:W3CDTF">2023-04-17T12:57:00Z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BREF_0sVWis3f4vrG_1">
    <vt:lpwstr>ZOTERO_ITEM CSL_CITATION {"citationID":"cNfOT9B7","properties":{"formattedCitation":"(Haspelmath 1993, p. 207)","plainCitation":"(Haspelmath 1993, p. 207)","noteIndex":0},"citationItems":[{"id":63066,"uris":["http://zotero.org/users/7800386/items/H2JQ756D</vt:lpwstr>
  </property>
  <property fmtid="{D5CDD505-2E9C-101B-9397-08002B2CF9AE}" pid="3" name="ZOTERO_BREF_0sVWis3f4vrG_2">
    <vt:lpwstr>"],"itemData":{"id":63066,"type":"article-journal","container-title":"New York","journalAbbreviation":"New York","title":"A grammar of Lezgian.(Mouton Grammar Library, 9). Berlin","author":[{"family":"Haspelmath","given":"M"}],"issued":{"date-parts":[["19</vt:lpwstr>
  </property>
  <property fmtid="{D5CDD505-2E9C-101B-9397-08002B2CF9AE}" pid="4" name="ZOTERO_BREF_0sVWis3f4vrG_3">
    <vt:lpwstr>93"]]}},"locator":"207","label":"page"}],"schema":"https://github.com/citation-style-language/schema/raw/master/csl-citation.json"}</vt:lpwstr>
  </property>
  <property fmtid="{D5CDD505-2E9C-101B-9397-08002B2CF9AE}" pid="5" name="ZOTERO_BREF_ScWPDzRVRHh0_1">
    <vt:lpwstr>ZOTERO_ITEM CSL_CITATION {"citationID":"Oz3G59Pn","properties":{"formattedCitation":"(Teich 2003)","plainCitation":"(Teich 2003)","noteIndex":0},"citationItems":[{"id":63049,"uris":["http://zotero.org/users/7800386/items/L78RLSNM"],"itemData":{"id":63049,</vt:lpwstr>
  </property>
  <property fmtid="{D5CDD505-2E9C-101B-9397-08002B2CF9AE}" pid="6" name="ZOTERO_BREF_ScWPDzRVRHh0_2">
    <vt:lpwstr>"type":"book","event-place":"Berlin","publisher":"Mouton de Gruyter","publisher-place":"Berlin","title":"Cross-Linguistic Variation in System and Text: A Methodology for the Investigation of Translations and Comparable Texts","author":[{"family":"Teich","</vt:lpwstr>
  </property>
  <property fmtid="{D5CDD505-2E9C-101B-9397-08002B2CF9AE}" pid="7" name="ZOTERO_BREF_ScWPDzRVRHh0_3">
    <vt:lpwstr>given":"Elke"}],"issued":{"date-parts":[["2003"]]}}}],"schema":"https://github.com/citation-style-language/schema/raw/master/csl-citation.json"}</vt:lpwstr>
  </property>
  <property fmtid="{D5CDD505-2E9C-101B-9397-08002B2CF9AE}" pid="8" name="ZOTERO_BREF_V5TMI0czrpa0_1">
    <vt:lpwstr>ZOTERO_ITEM CSL_CITATION {"citationID":"BRvaGgo9","properties":{"formattedCitation":"(Bickel/Comrie/Haspelmath 2015)","plainCitation":"(Bickel/Comrie/Haspelmath 2015)","noteIndex":0},"citationItems":[{"id":63065,"uris":["http://zotero.org/users/7800386/it</vt:lpwstr>
  </property>
  <property fmtid="{D5CDD505-2E9C-101B-9397-08002B2CF9AE}" pid="9" name="ZOTERO_BREF_V5TMI0czrpa0_2">
    <vt:lpwstr>ems/XDMEJRBJ"],"itemData":{"id":63065,"type":"document","note":"Revised version of May 31, 2015","title":"The Leipzig glossing rules: Conventions for interlinear morpheme-by-morpheme glosses","URL":"https://www.eva.mpg.de/lingua/pdf/Glossing-Rules.pdf","a</vt:lpwstr>
  </property>
  <property fmtid="{D5CDD505-2E9C-101B-9397-08002B2CF9AE}" pid="10" name="ZOTERO_BREF_V5TMI0czrpa0_3">
    <vt:lpwstr>uthor":[{"family":"Bickel","given":"Balthasar"},{"family":"Comrie","given":"Bernard"},{"family":"Haspelmath","given":"Martin"}],"accessed":{"date-parts":[["2023",3,8]]},"issued":{"date-parts":[["2015"]]}}}],"schema":"https://github.com/citation-style-lang</vt:lpwstr>
  </property>
  <property fmtid="{D5CDD505-2E9C-101B-9397-08002B2CF9AE}" pid="11" name="ZOTERO_BREF_V5TMI0czrpa0_4">
    <vt:lpwstr>uage/schema/raw/master/csl-citation.json"}</vt:lpwstr>
  </property>
  <property fmtid="{D5CDD505-2E9C-101B-9397-08002B2CF9AE}" pid="12" name="ZOTERO_BREF_hAC7oUOtVeE8_1">
    <vt:lpwstr>ZOTERO_ITEM CSL_CITATION {"citationID":"BOYKEc9w","properties":{"formattedCitation":"(Cappelle/Mostrov/Tayalati 2021, p. 82)","plainCitation":"(Cappelle/Mostrov/Tayalati 2021, p. 82)","noteIndex":0},"citationItems":[{"id":63059,"uris":["http://zotero.org/</vt:lpwstr>
  </property>
  <property fmtid="{D5CDD505-2E9C-101B-9397-08002B2CF9AE}" pid="13" name="ZOTERO_BREF_hAC7oUOtVeE8_2">
    <vt:lpwstr>users/7800386/items/IJ9ABV2D"],"itemData":{"id":63059,"type":"article-journal","abstract":"Abstract This study focuses on French and English abstract nouns denoting properties that can be ascribed to humans, such as beauty, carefulness and anger. Previous</vt:lpwstr>
  </property>
  <property fmtid="{D5CDD505-2E9C-101B-9397-08002B2CF9AE}" pid="14" name="ZOTERO_BREF_hAC7oUOtVeE8_3">
    <vt:lpwstr> research showed that some but not all of these nouns are licensed in both locative existentials (e.g., There’s an intense anger in Isabella) and possessive existentials (e.g., Isabella has an intense anger). What remains unclear is how these and other pa</vt:lpwstr>
  </property>
  <property fmtid="{D5CDD505-2E9C-101B-9397-08002B2CF9AE}" pid="15" name="ZOTERO_BREF_hAC7oUOtVeE8_4">
    <vt:lpwstr>tterns correlate among themselves depending on how easily they host such nouns. We here use speaker ratings of these nouns in different constructional environments. A principal component analysis suggests that the main dimension underlying native speakers</vt:lpwstr>
  </property>
  <property fmtid="{D5CDD505-2E9C-101B-9397-08002B2CF9AE}" pid="16" name="ZOTERO_BREF_hAC7oUOtVeE8_5">
    <vt:lpwstr>’ ratings of these abstract nouns in six different patterns is temporal limitability. This gradable distinction, strongly correlated with the locative existential, holds for both the French and English data and outweighs any French-English contrastive dif</vt:lpwstr>
  </property>
  <property fmtid="{D5CDD505-2E9C-101B-9397-08002B2CF9AE}" pid="17" name="ZOTERO_BREF_hAC7oUOtVeE8_6">
    <vt:lpwstr>ferences in how acceptable human property nouns are considered to be in the patterns studied.","container-title":"Languages in Contrast","DOI":"10.1075/lic.19006.cap","ISSN":"1387-6759","issue":"1","journalAbbreviation":"Lang. Contrast","note":"publisher:</vt:lpwstr>
  </property>
  <property fmtid="{D5CDD505-2E9C-101B-9397-08002B2CF9AE}" pid="18" name="ZOTERO_BREF_hAC7oUOtVeE8_7">
    <vt:lpwstr> John Benjamins Publishing Company","page":"82-111","title":"Temperaments, tempers, and temporality","volume":"21","author":[{"family":"Cappelle","given":"Bert"},{"family":"Mostrov","given":"Vassil"},{"family":"Tayalati","given":"Fayssal"}],"issued":{"dat</vt:lpwstr>
  </property>
  <property fmtid="{D5CDD505-2E9C-101B-9397-08002B2CF9AE}" pid="19" name="ZOTERO_BREF_hAC7oUOtVeE8_8">
    <vt:lpwstr>e-parts":[["2021",1,26]]}},"locator":"82","label":"page"}],"schema":"https://github.com/citation-style-language/schema/raw/master/csl-citation.json"}</vt:lpwstr>
  </property>
  <property fmtid="{D5CDD505-2E9C-101B-9397-08002B2CF9AE}" pid="20" name="ZOTERO_BREF_nOh0h30CRAuA_1">
    <vt:lpwstr>ZOTERO_ITEM CSL_CITATION {"citationID":"EiAJUOGU","properties":{"formattedCitation":"(Ernst 1994; Greenbaum 1996, pp. 2\\uc0\\u8211{}3)","plainCitation":"(Ernst 1994; Greenbaum 1996, pp. 2–3)","noteIndex":0},"citationItems":[{"id":63067,"uris":["http://zo</vt:lpwstr>
  </property>
  <property fmtid="{D5CDD505-2E9C-101B-9397-08002B2CF9AE}" pid="21" name="ZOTERO_BREF_nOh0h30CRAuA_2">
    <vt:lpwstr>tero.org/users/7800386/items/BX9I3NPY"],"itemData":{"id":63067,"type":"thesis","genre":"Master's Thesis","publisher":"Department of Philosophy, Kings College, University of London","title":"Meaning and Mind in Monkeys","author":[{"family":"Ernst","given":</vt:lpwstr>
  </property>
  <property fmtid="{D5CDD505-2E9C-101B-9397-08002B2CF9AE}" pid="22" name="ZOTERO_BREF_nOh0h30CRAuA_3">
    <vt:lpwstr>"Pascal"}],"issued":{"date-parts":[["1994"]]}}},{"id":63045,"uris":["http://zotero.org/users/7800386/items/VPV5CQC5"],"itemData":{"id":63045,"type":"book","event-place":"Oxford","publisher":"Clarendon Press","publisher-place":"Oxford","title":"Comparing E</vt:lpwstr>
  </property>
  <property fmtid="{D5CDD505-2E9C-101B-9397-08002B2CF9AE}" pid="23" name="ZOTERO_BREF_nOh0h30CRAuA_4">
    <vt:lpwstr>nglish Worldwide: The International Corpus of English","editor":[{"family":"Greenbaum","given":"Sidney"}],"issued":{"date-parts":[["1996"]]}},"locator":"2-3","label":"page"}],"schema":"https://github.com/citation-style-language/schema/raw/master/csl-citat</vt:lpwstr>
  </property>
  <property fmtid="{D5CDD505-2E9C-101B-9397-08002B2CF9AE}" pid="24" name="ZOTERO_BREF_nOh0h30CRAuA_5">
    <vt:lpwstr>ion.json"}</vt:lpwstr>
  </property>
  <property fmtid="{D5CDD505-2E9C-101B-9397-08002B2CF9AE}" pid="25" name="ZOTERO_BREF_uTco13lYWpsN_1">
    <vt:lpwstr>ZOTERO_ITEM CSL_CITATION {"citationID":"5sCYlDOo","properties":{"formattedCitation":"(Hasselg\\uc0\\u229{}rd/Johansson 2011)","plainCitation":"(Hasselgård/Johansson 2011)","noteIndex":0},"citationItems":[{"id":63063,"uris":["http://zotero.org/users/780038</vt:lpwstr>
  </property>
  <property fmtid="{D5CDD505-2E9C-101B-9397-08002B2CF9AE}" pid="26" name="ZOTERO_BREF_uTco13lYWpsN_2">
    <vt:lpwstr>6/items/CRCEURAF"],"itemData":{"id":63063,"type":"chapter","collection-title":"Studies in Corpus Linguistics","container-title":"A Taste for Corpora","event-place":"Amsterdam","note":"publisher: John Benjamins","page":"33-61","publisher":"Benjamins","publ</vt:lpwstr>
  </property>
  <property fmtid="{D5CDD505-2E9C-101B-9397-08002B2CF9AE}" pid="27" name="ZOTERO_BREF_uTco13lYWpsN_3">
    <vt:lpwstr>isher-place":"Amsterdam","title":"Learner corpora and contrastive interlanguage analysis","author":[{"family":"Hasselgård","given":"Hilde"},{"family":"Johansson","given":"Stig"}],"editor":[{"family":"Meunier","given":"Fanny"},{"family":"Paquot","given":"M</vt:lpwstr>
  </property>
  <property fmtid="{D5CDD505-2E9C-101B-9397-08002B2CF9AE}" pid="28" name="ZOTERO_BREF_uTco13lYWpsN_4">
    <vt:lpwstr>agali"},{"family":"Gilquin","given":"Gaëtanelle"},{"family":"De Cock","given":"Sylvie"}],"issued":{"date-parts":[["2011"]]}}}],"schema":"https://github.com/citation-style-language/schema/raw/master/csl-citation.json"}</vt:lpwstr>
  </property>
  <property fmtid="{D5CDD505-2E9C-101B-9397-08002B2CF9AE}" pid="29" name="ZOTERO_BREF_xuNV8XID0H2x_1">
    <vt:lpwstr>ZOTERO_BIBL {"uncited":[],"omitted":[],"custom":[]} CSL_BIBLIOGRAPHY</vt:lpwstr>
  </property>
  <property fmtid="{D5CDD505-2E9C-101B-9397-08002B2CF9AE}" pid="30" name="ZOTERO_PREF_1">
    <vt:lpwstr>&lt;data data-version="3" zotero-version="6.0.22"&gt;&lt;session id="oEl9wfyX"/&gt;&lt;style id="http://www.zotero.org/styles/ICLC-10" locale="en-GB" hasBibliography="1" bibliographyStyleHasBeenSet="0"/&gt;&lt;prefs&gt;&lt;pref name="fieldType" value="Field"/&gt;&lt;pref name="automaticJ</vt:lpwstr>
  </property>
  <property fmtid="{D5CDD505-2E9C-101B-9397-08002B2CF9AE}" pid="31" name="ZOTERO_PREF_2">
    <vt:lpwstr>ournalAbbreviations" value="true"/&gt;&lt;/prefs&gt;&lt;/data&gt;</vt:lpwstr>
  </property>
</Properties>
</file>