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3345D4" w14:textId="5F99358B" w:rsidR="00AB181E" w:rsidRDefault="0071014A">
      <w:pPr>
        <w:pStyle w:val="Author"/>
      </w:pPr>
      <w:r>
        <w:t>Faye</w:t>
      </w:r>
      <w:r w:rsidR="00224AA6">
        <w:t xml:space="preserve"> </w:t>
      </w:r>
      <w:r>
        <w:t>Troughton</w:t>
      </w:r>
    </w:p>
    <w:p w14:paraId="2C36AC2F" w14:textId="7EF9761C" w:rsidR="0071014A" w:rsidRPr="0071014A" w:rsidRDefault="0071014A" w:rsidP="0071014A">
      <w:pPr>
        <w:pStyle w:val="Subtitle"/>
        <w:rPr>
          <w:bCs/>
          <w:color w:val="4FAF4A"/>
          <w:sz w:val="38"/>
          <w:szCs w:val="56"/>
        </w:rPr>
      </w:pPr>
      <w:r w:rsidRPr="0071014A">
        <w:rPr>
          <w:bCs/>
          <w:color w:val="4FAF4A"/>
          <w:sz w:val="38"/>
          <w:szCs w:val="56"/>
        </w:rPr>
        <w:t>Projected Meaning in English and French</w:t>
      </w:r>
    </w:p>
    <w:p w14:paraId="2018239E" w14:textId="1D5C2928" w:rsidR="00AB181E" w:rsidRDefault="0071014A">
      <w:pPr>
        <w:pStyle w:val="Subtitle"/>
      </w:pPr>
      <w:r w:rsidRPr="0071014A">
        <w:rPr>
          <w:bCs/>
        </w:rPr>
        <w:t>The Embedded Exclamative</w:t>
      </w:r>
    </w:p>
    <w:p w14:paraId="0263BC0A" w14:textId="4B3451FC" w:rsidR="00AB181E" w:rsidRPr="0071014A" w:rsidRDefault="00224AA6" w:rsidP="0071014A">
      <w:pPr>
        <w:pStyle w:val="Keywords"/>
        <w:jc w:val="left"/>
        <w:rPr>
          <w:szCs w:val="20"/>
        </w:rPr>
      </w:pPr>
      <w:r>
        <w:rPr>
          <w:b/>
          <w:szCs w:val="20"/>
        </w:rPr>
        <w:t>Keywords:</w:t>
      </w:r>
      <w:r>
        <w:rPr>
          <w:szCs w:val="20"/>
        </w:rPr>
        <w:t xml:space="preserve"> </w:t>
      </w:r>
      <w:r w:rsidR="0071014A">
        <w:rPr>
          <w:szCs w:val="20"/>
        </w:rPr>
        <w:t>Exclamative; mirativity; illocutionary force; projection</w:t>
      </w:r>
      <w:r>
        <w:t xml:space="preserve"> </w:t>
      </w:r>
    </w:p>
    <w:p w14:paraId="14481582" w14:textId="3CEC50D5" w:rsidR="0071014A" w:rsidRPr="0071014A" w:rsidRDefault="0071014A" w:rsidP="0071014A">
      <w:r w:rsidRPr="0071014A">
        <w:t xml:space="preserve">This study offers a reanalysis of embedded exclamative constructions as mirative items. Through a quantitative study of the verbs that licence </w:t>
      </w:r>
      <w:r w:rsidR="00EF352C">
        <w:t>them</w:t>
      </w:r>
      <w:r w:rsidRPr="0071014A">
        <w:t xml:space="preserve"> in English and French, it is demonstrated that the conventionalized meaning of an exclamative is not over-ruled by a matrix clause but rather projected by it.</w:t>
      </w:r>
    </w:p>
    <w:p w14:paraId="0CF9903A" w14:textId="50E5C6E8" w:rsidR="0071014A" w:rsidRPr="0071014A" w:rsidRDefault="0071014A" w:rsidP="0071014A">
      <w:r w:rsidRPr="0071014A">
        <w:t>Matrix exclamative constructions are generally accepted to include instances such as (1-2). These prototypical exclamatives are fronted by interrogative</w:t>
      </w:r>
      <w:r w:rsidRPr="0071014A">
        <w:rPr>
          <w:i/>
          <w:iCs/>
        </w:rPr>
        <w:t xml:space="preserve"> </w:t>
      </w:r>
      <w:r w:rsidRPr="0071014A">
        <w:t xml:space="preserve">words and are distinguishable from interrogatives by the absence of subject-auxiliary inversion. Pragmatically, they are characterised by their conveying of presupposed content, subjectivity, high degree, and mirativity (denoting surprise or exceeded expectations) (cf. </w:t>
      </w:r>
      <w:proofErr w:type="spellStart"/>
      <w:r w:rsidR="00A74120" w:rsidRPr="0071014A">
        <w:t>Krawczak</w:t>
      </w:r>
      <w:proofErr w:type="spellEnd"/>
      <w:r w:rsidR="00A74120">
        <w:t>/</w:t>
      </w:r>
      <w:r w:rsidR="00A74120" w:rsidRPr="0071014A">
        <w:t>Glynn 2015</w:t>
      </w:r>
      <w:r w:rsidR="00A74120">
        <w:t xml:space="preserve">; </w:t>
      </w:r>
      <w:r w:rsidRPr="0071014A">
        <w:t>Michaelis</w:t>
      </w:r>
      <w:r w:rsidR="00A74120">
        <w:t>/</w:t>
      </w:r>
      <w:r w:rsidRPr="0071014A">
        <w:t>Lambrecht 1996; Michaelis 2001</w:t>
      </w:r>
      <w:r w:rsidR="00A74120">
        <w:t>;</w:t>
      </w:r>
      <w:r w:rsidRPr="0071014A">
        <w:t xml:space="preserve"> Rett 2008, 2011; Unger 2019). </w:t>
      </w:r>
    </w:p>
    <w:p w14:paraId="5D1EC780" w14:textId="480831DD" w:rsidR="0071014A" w:rsidRPr="0071014A" w:rsidRDefault="0071014A" w:rsidP="0071014A">
      <w:pPr>
        <w:pStyle w:val="Example"/>
        <w:spacing w:before="120"/>
        <w:ind w:left="454" w:hanging="454"/>
        <w:rPr>
          <w:lang w:val="en-BE"/>
        </w:rPr>
      </w:pPr>
      <w:r w:rsidRPr="0071014A">
        <w:t>Phew, what a relief.</w:t>
      </w:r>
      <w:r w:rsidRPr="0071014A">
        <w:rPr>
          <w:i/>
          <w:iCs/>
        </w:rPr>
        <w:t xml:space="preserve"> </w:t>
      </w:r>
      <w:r w:rsidRPr="0071014A">
        <w:t xml:space="preserve">(WB </w:t>
      </w:r>
      <w:proofErr w:type="spellStart"/>
      <w:r w:rsidR="00EF352C">
        <w:t>brbooks</w:t>
      </w:r>
      <w:proofErr w:type="spellEnd"/>
      <w:r w:rsidRPr="0071014A">
        <w:t>)</w:t>
      </w:r>
    </w:p>
    <w:p w14:paraId="00D86FD1" w14:textId="0A6C8F43" w:rsidR="0071014A" w:rsidRPr="0071014A" w:rsidRDefault="0071014A" w:rsidP="0071014A">
      <w:pPr>
        <w:pStyle w:val="Example"/>
        <w:spacing w:before="120"/>
        <w:ind w:left="454" w:hanging="454"/>
      </w:pPr>
      <w:r w:rsidRPr="0071014A">
        <w:t xml:space="preserve">Tu </w:t>
      </w:r>
      <w:proofErr w:type="spellStart"/>
      <w:proofErr w:type="gramStart"/>
      <w:r w:rsidRPr="0071014A">
        <w:t>reviens</w:t>
      </w:r>
      <w:proofErr w:type="spellEnd"/>
      <w:r w:rsidRPr="0071014A">
        <w:t xml:space="preserve"> ,</w:t>
      </w:r>
      <w:proofErr w:type="gramEnd"/>
      <w:r w:rsidRPr="0071014A">
        <w:t xml:space="preserve"> je </w:t>
      </w:r>
      <w:proofErr w:type="spellStart"/>
      <w:r w:rsidRPr="0071014A">
        <w:t>te</w:t>
      </w:r>
      <w:proofErr w:type="spellEnd"/>
      <w:r w:rsidRPr="0071014A">
        <w:t xml:space="preserve"> dis : «  Tu l' as </w:t>
      </w:r>
      <w:proofErr w:type="spellStart"/>
      <w:r w:rsidRPr="0071014A">
        <w:t>aimé</w:t>
      </w:r>
      <w:proofErr w:type="spellEnd"/>
      <w:r w:rsidRPr="0071014A">
        <w:t xml:space="preserve"> . Quel </w:t>
      </w:r>
      <w:proofErr w:type="spellStart"/>
      <w:r w:rsidRPr="0071014A">
        <w:t>pauvre</w:t>
      </w:r>
      <w:proofErr w:type="spellEnd"/>
      <w:r w:rsidRPr="0071014A">
        <w:t xml:space="preserve"> type c' </w:t>
      </w:r>
      <w:proofErr w:type="spellStart"/>
      <w:proofErr w:type="gramStart"/>
      <w:r w:rsidRPr="0071014A">
        <w:t>était</w:t>
      </w:r>
      <w:proofErr w:type="spellEnd"/>
      <w:r w:rsidRPr="0071014A">
        <w:t xml:space="preserve"> .</w:t>
      </w:r>
      <w:proofErr w:type="gramEnd"/>
      <w:r w:rsidRPr="0071014A">
        <w:t xml:space="preserve">   »</w:t>
      </w:r>
      <w:r w:rsidRPr="0071014A">
        <w:rPr>
          <w:i/>
          <w:iCs/>
        </w:rPr>
        <w:t xml:space="preserve"> </w:t>
      </w:r>
      <w:r w:rsidRPr="0071014A">
        <w:t>(</w:t>
      </w:r>
      <w:proofErr w:type="spellStart"/>
      <w:r w:rsidRPr="0071014A">
        <w:t>FranText</w:t>
      </w:r>
      <w:proofErr w:type="spellEnd"/>
      <w:r w:rsidRPr="0071014A">
        <w:t xml:space="preserve">, LEDUC Violette, </w:t>
      </w:r>
      <w:r w:rsidRPr="0071014A">
        <w:rPr>
          <w:i/>
          <w:iCs/>
        </w:rPr>
        <w:t xml:space="preserve">La </w:t>
      </w:r>
      <w:proofErr w:type="spellStart"/>
      <w:r w:rsidRPr="0071014A">
        <w:rPr>
          <w:i/>
          <w:iCs/>
        </w:rPr>
        <w:t>Batârde</w:t>
      </w:r>
      <w:proofErr w:type="spellEnd"/>
      <w:r w:rsidRPr="0071014A">
        <w:t>, 1964)</w:t>
      </w:r>
    </w:p>
    <w:p w14:paraId="0A465123" w14:textId="462E0EA2" w:rsidR="0071014A" w:rsidRPr="0071014A" w:rsidRDefault="00EF352C" w:rsidP="0071014A">
      <w:pPr>
        <w:pStyle w:val="Example"/>
        <w:spacing w:before="120"/>
        <w:ind w:left="454" w:hanging="454"/>
        <w:rPr>
          <w:lang w:val="en-BE"/>
        </w:rPr>
      </w:pPr>
      <w:r w:rsidRPr="00EF352C">
        <w:rPr>
          <w:lang w:val="en-BE"/>
        </w:rPr>
        <w:t>Jesus, Coll, I never realized what a Puritan you are</w:t>
      </w:r>
      <w:r w:rsidR="0071014A" w:rsidRPr="0071014A">
        <w:rPr>
          <w:i/>
          <w:iCs/>
          <w:lang w:val="en-BE"/>
        </w:rPr>
        <w:t>.</w:t>
      </w:r>
      <w:r w:rsidR="0071014A" w:rsidRPr="0071014A" w:rsidDel="00B17A2C">
        <w:t xml:space="preserve"> </w:t>
      </w:r>
      <w:r w:rsidR="0071014A" w:rsidRPr="0071014A">
        <w:t xml:space="preserve">(WB </w:t>
      </w:r>
      <w:proofErr w:type="spellStart"/>
      <w:r>
        <w:t>brbooks</w:t>
      </w:r>
      <w:proofErr w:type="spellEnd"/>
      <w:r w:rsidR="0071014A" w:rsidRPr="0071014A">
        <w:t>)</w:t>
      </w:r>
    </w:p>
    <w:p w14:paraId="057EECDB" w14:textId="04C7974A" w:rsidR="0071014A" w:rsidRPr="0071014A" w:rsidRDefault="0071014A" w:rsidP="0071014A">
      <w:pPr>
        <w:pStyle w:val="Example"/>
        <w:spacing w:before="120"/>
        <w:ind w:left="454" w:hanging="454"/>
        <w:rPr>
          <w:i/>
          <w:iCs/>
        </w:rPr>
      </w:pPr>
      <w:r w:rsidRPr="0071014A">
        <w:t xml:space="preserve">Sa manière de </w:t>
      </w:r>
      <w:proofErr w:type="spellStart"/>
      <w:r w:rsidRPr="0071014A">
        <w:t>rire</w:t>
      </w:r>
      <w:proofErr w:type="spellEnd"/>
      <w:r w:rsidRPr="0071014A">
        <w:t xml:space="preserve"> </w:t>
      </w:r>
      <w:proofErr w:type="spellStart"/>
      <w:r w:rsidRPr="0071014A">
        <w:t>seulement</w:t>
      </w:r>
      <w:proofErr w:type="spellEnd"/>
      <w:r w:rsidRPr="0071014A">
        <w:t xml:space="preserve"> des </w:t>
      </w:r>
      <w:proofErr w:type="spellStart"/>
      <w:r w:rsidRPr="0071014A">
        <w:t>yeux</w:t>
      </w:r>
      <w:proofErr w:type="spellEnd"/>
      <w:r w:rsidRPr="0071014A">
        <w:t xml:space="preserve"> </w:t>
      </w:r>
      <w:proofErr w:type="spellStart"/>
      <w:r w:rsidRPr="0071014A">
        <w:t>quand</w:t>
      </w:r>
      <w:proofErr w:type="spellEnd"/>
      <w:r w:rsidRPr="0071014A">
        <w:t xml:space="preserve"> </w:t>
      </w:r>
      <w:proofErr w:type="spellStart"/>
      <w:r w:rsidRPr="0071014A">
        <w:t>elle</w:t>
      </w:r>
      <w:proofErr w:type="spellEnd"/>
      <w:r w:rsidRPr="0071014A">
        <w:t xml:space="preserve"> </w:t>
      </w:r>
      <w:proofErr w:type="spellStart"/>
      <w:r w:rsidRPr="0071014A">
        <w:t>lui</w:t>
      </w:r>
      <w:proofErr w:type="spellEnd"/>
      <w:r w:rsidRPr="0071014A">
        <w:t xml:space="preserve"> </w:t>
      </w:r>
      <w:proofErr w:type="spellStart"/>
      <w:r w:rsidRPr="0071014A">
        <w:t>dit</w:t>
      </w:r>
      <w:proofErr w:type="spellEnd"/>
      <w:r w:rsidRPr="0071014A">
        <w:t xml:space="preserve"> combien </w:t>
      </w:r>
      <w:proofErr w:type="spellStart"/>
      <w:r w:rsidRPr="0071014A">
        <w:t>elle</w:t>
      </w:r>
      <w:proofErr w:type="spellEnd"/>
      <w:r w:rsidRPr="0071014A">
        <w:t xml:space="preserve"> se sent protégée </w:t>
      </w:r>
      <w:proofErr w:type="spellStart"/>
      <w:r w:rsidRPr="0071014A">
        <w:t>auprès</w:t>
      </w:r>
      <w:proofErr w:type="spellEnd"/>
      <w:r w:rsidRPr="0071014A">
        <w:t xml:space="preserve"> de </w:t>
      </w:r>
      <w:proofErr w:type="spellStart"/>
      <w:proofErr w:type="gramStart"/>
      <w:r w:rsidRPr="0071014A">
        <w:t>lui</w:t>
      </w:r>
      <w:proofErr w:type="spellEnd"/>
      <w:r w:rsidRPr="0071014A">
        <w:t xml:space="preserve"> ,</w:t>
      </w:r>
      <w:proofErr w:type="gramEnd"/>
      <w:r w:rsidRPr="0071014A">
        <w:t xml:space="preserve"> et combien </w:t>
      </w:r>
      <w:proofErr w:type="spellStart"/>
      <w:r w:rsidRPr="0071014A">
        <w:t>elle</w:t>
      </w:r>
      <w:proofErr w:type="spellEnd"/>
      <w:r w:rsidRPr="0071014A">
        <w:t xml:space="preserve"> </w:t>
      </w:r>
      <w:proofErr w:type="spellStart"/>
      <w:r w:rsidRPr="0071014A">
        <w:t>jouit</w:t>
      </w:r>
      <w:proofErr w:type="spellEnd"/>
      <w:r w:rsidRPr="0071014A">
        <w:t xml:space="preserve"> . (</w:t>
      </w:r>
      <w:proofErr w:type="spellStart"/>
      <w:r w:rsidRPr="0071014A">
        <w:t>FranText</w:t>
      </w:r>
      <w:proofErr w:type="spellEnd"/>
      <w:r w:rsidRPr="0071014A">
        <w:t>, KRISTEVA Julia</w:t>
      </w:r>
      <w:r w:rsidRPr="0071014A">
        <w:rPr>
          <w:i/>
          <w:iCs/>
        </w:rPr>
        <w:t xml:space="preserve">, Les </w:t>
      </w:r>
      <w:proofErr w:type="spellStart"/>
      <w:r w:rsidRPr="0071014A">
        <w:rPr>
          <w:i/>
          <w:iCs/>
        </w:rPr>
        <w:t>Samouraïs</w:t>
      </w:r>
      <w:proofErr w:type="spellEnd"/>
      <w:r w:rsidRPr="0071014A">
        <w:t>, 1990)</w:t>
      </w:r>
    </w:p>
    <w:p w14:paraId="55F95F47" w14:textId="05E3B7E4" w:rsidR="0071014A" w:rsidRPr="0071014A" w:rsidRDefault="0071014A" w:rsidP="0071014A">
      <w:r w:rsidRPr="0071014A">
        <w:t>In English, reference grammars and many initial accounts of the exclamative clause type a</w:t>
      </w:r>
      <w:r w:rsidR="00F370A0">
        <w:t>s</w:t>
      </w:r>
      <w:r w:rsidRPr="0071014A">
        <w:t xml:space="preserve">sume that an exclamative clause can be embedded in much the same way as the interrogative (cf. </w:t>
      </w:r>
      <w:r w:rsidR="00A74120" w:rsidRPr="0071014A">
        <w:t>Collins 2005</w:t>
      </w:r>
      <w:r w:rsidR="00A74120">
        <w:t>, p.</w:t>
      </w:r>
      <w:r w:rsidR="00A74120" w:rsidRPr="0071014A">
        <w:t xml:space="preserve"> 3</w:t>
      </w:r>
      <w:r w:rsidR="00A74120">
        <w:t xml:space="preserve">; </w:t>
      </w:r>
      <w:r w:rsidRPr="0071014A">
        <w:t>Elliot 1974</w:t>
      </w:r>
      <w:r w:rsidR="00A74120">
        <w:t>, p.</w:t>
      </w:r>
      <w:r w:rsidRPr="0071014A">
        <w:t xml:space="preserve"> 233; Grimshaw 1979</w:t>
      </w:r>
      <w:r w:rsidR="00A74120">
        <w:t>, p.</w:t>
      </w:r>
      <w:r w:rsidRPr="0071014A">
        <w:t xml:space="preserve"> 281; </w:t>
      </w:r>
      <w:r w:rsidR="00A74120" w:rsidRPr="0071014A">
        <w:t>Huddleston</w:t>
      </w:r>
      <w:r w:rsidR="00A74120">
        <w:t>/</w:t>
      </w:r>
      <w:r w:rsidR="00A74120" w:rsidRPr="0071014A">
        <w:t>Pullum 2002</w:t>
      </w:r>
      <w:r w:rsidR="00A74120">
        <w:t>, p.</w:t>
      </w:r>
      <w:r w:rsidR="00A74120" w:rsidRPr="0071014A">
        <w:t xml:space="preserve"> 991</w:t>
      </w:r>
      <w:r w:rsidRPr="0071014A">
        <w:t xml:space="preserve">; Trotta 2000; </w:t>
      </w:r>
      <w:proofErr w:type="spellStart"/>
      <w:r w:rsidRPr="0071014A">
        <w:t>Zanuttini</w:t>
      </w:r>
      <w:proofErr w:type="spellEnd"/>
      <w:r w:rsidR="00A74120">
        <w:t>/</w:t>
      </w:r>
      <w:proofErr w:type="spellStart"/>
      <w:r w:rsidRPr="0071014A">
        <w:t>Portner</w:t>
      </w:r>
      <w:proofErr w:type="spellEnd"/>
      <w:r w:rsidRPr="0071014A">
        <w:t xml:space="preserve"> 2003). However, many have disputed the fact that constructions such as (3-4) can be defined as exclamative (</w:t>
      </w:r>
      <w:proofErr w:type="spellStart"/>
      <w:r w:rsidR="00A74120" w:rsidRPr="0071014A">
        <w:t>Chernilovskaya</w:t>
      </w:r>
      <w:proofErr w:type="spellEnd"/>
      <w:r w:rsidR="00A74120" w:rsidRPr="0071014A">
        <w:t xml:space="preserve"> 2014</w:t>
      </w:r>
      <w:r w:rsidR="00A74120">
        <w:t xml:space="preserve">; </w:t>
      </w:r>
      <w:r w:rsidRPr="0071014A">
        <w:t>Michaelis &amp; Lambrecht 1996</w:t>
      </w:r>
      <w:r w:rsidR="00A74120">
        <w:t>, pp.</w:t>
      </w:r>
      <w:r w:rsidRPr="0071014A">
        <w:t xml:space="preserve"> 241-242; Rett 2008</w:t>
      </w:r>
      <w:r w:rsidR="00A74120">
        <w:t>)</w:t>
      </w:r>
      <w:r w:rsidRPr="0071014A">
        <w:t xml:space="preserve"> This is based on the idea that the exclamative must encode a certain illocutionary force. Rett (2008</w:t>
      </w:r>
      <w:r w:rsidR="00A74120">
        <w:t>, pp.</w:t>
      </w:r>
      <w:r w:rsidRPr="0071014A">
        <w:t xml:space="preserve"> 603) holds that “illocutionary force is a property of an utterance as a whole, not of subcomponents of utterances”. </w:t>
      </w:r>
    </w:p>
    <w:p w14:paraId="6AF9663B" w14:textId="14DDDD30" w:rsidR="0071014A" w:rsidRPr="0071014A" w:rsidRDefault="0071014A" w:rsidP="0071014A">
      <w:r w:rsidRPr="0071014A">
        <w:t xml:space="preserve">The current study builds upon a recent initial corpus study of English </w:t>
      </w:r>
      <w:r w:rsidRPr="0071014A">
        <w:rPr>
          <w:i/>
          <w:iCs/>
        </w:rPr>
        <w:t xml:space="preserve">what </w:t>
      </w:r>
      <w:r w:rsidRPr="0071014A">
        <w:t xml:space="preserve">and </w:t>
      </w:r>
      <w:r w:rsidRPr="0071014A">
        <w:rPr>
          <w:i/>
          <w:iCs/>
        </w:rPr>
        <w:t>how</w:t>
      </w:r>
      <w:r w:rsidRPr="0071014A">
        <w:t xml:space="preserve"> (</w:t>
      </w:r>
      <w:r>
        <w:t>Troughton</w:t>
      </w:r>
      <w:r w:rsidR="007D7E38">
        <w:t>/</w:t>
      </w:r>
      <w:proofErr w:type="spellStart"/>
      <w:r w:rsidR="007D7E38">
        <w:t>Ghesquière</w:t>
      </w:r>
      <w:proofErr w:type="spellEnd"/>
      <w:r>
        <w:t xml:space="preserve"> 2022</w:t>
      </w:r>
      <w:r w:rsidRPr="0071014A">
        <w:t>) which suggest</w:t>
      </w:r>
      <w:r w:rsidR="00F370A0">
        <w:t>s</w:t>
      </w:r>
      <w:r w:rsidRPr="0071014A">
        <w:t xml:space="preserve"> that most embedded exclamatives are a case of projection. Halliday </w:t>
      </w:r>
      <w:r w:rsidR="00A74120">
        <w:t>and</w:t>
      </w:r>
      <w:r w:rsidRPr="0071014A">
        <w:t xml:space="preserve"> Matthiessen (2004</w:t>
      </w:r>
      <w:r w:rsidR="00A74120">
        <w:t>, p.</w:t>
      </w:r>
      <w:r w:rsidRPr="0071014A">
        <w:t xml:space="preserve"> 443) write that through projection “one clause is set up as the representation of the linguistic “content” of another — either the content of a ‘verbal’ clause of saying [</w:t>
      </w:r>
      <w:proofErr w:type="gramStart"/>
      <w:r w:rsidRPr="0071014A">
        <w:t>i.e.</w:t>
      </w:r>
      <w:proofErr w:type="gramEnd"/>
      <w:r w:rsidRPr="0071014A">
        <w:t xml:space="preserve"> a locution] or the content of a ‘mental’ clause of sensing [i.e. an idea]”. This suggests that an exclamative embedded under verbs of saying (</w:t>
      </w:r>
      <w:r w:rsidRPr="0071014A">
        <w:rPr>
          <w:i/>
          <w:iCs/>
        </w:rPr>
        <w:t xml:space="preserve">say, tell, </w:t>
      </w:r>
      <w:r w:rsidRPr="0071014A">
        <w:t>etc.) or verbs of mental processes (</w:t>
      </w:r>
      <w:r w:rsidRPr="0071014A">
        <w:rPr>
          <w:i/>
          <w:iCs/>
        </w:rPr>
        <w:t xml:space="preserve">know, imagine, remember, </w:t>
      </w:r>
      <w:r w:rsidRPr="0071014A">
        <w:t>etc.) are actually “projected through the primary clause, which instates it as (a) a locution or (b) an idea.” (Halliday</w:t>
      </w:r>
      <w:r w:rsidR="00A74120">
        <w:t>/</w:t>
      </w:r>
      <w:r w:rsidRPr="0071014A">
        <w:t>Matthiessen 2004</w:t>
      </w:r>
      <w:r w:rsidR="00A74120">
        <w:t>, p.</w:t>
      </w:r>
      <w:r w:rsidRPr="0071014A">
        <w:t xml:space="preserve"> 377). As such it would retain the same </w:t>
      </w:r>
      <w:proofErr w:type="spellStart"/>
      <w:r w:rsidRPr="0071014A">
        <w:t>semantico</w:t>
      </w:r>
      <w:proofErr w:type="spellEnd"/>
      <w:r w:rsidRPr="0071014A">
        <w:t>-pragmatic meaning as an independent construction. English and French are known for their relative proximity (</w:t>
      </w:r>
      <w:proofErr w:type="spellStart"/>
      <w:r w:rsidRPr="0071014A">
        <w:t>Kerfelec</w:t>
      </w:r>
      <w:proofErr w:type="spellEnd"/>
      <w:r w:rsidRPr="0071014A">
        <w:t xml:space="preserve"> 2009</w:t>
      </w:r>
      <w:r w:rsidR="00A74120">
        <w:t>, p.</w:t>
      </w:r>
      <w:r w:rsidRPr="0071014A">
        <w:t xml:space="preserve"> 22) and as such it is hypothesised that French embedded exclamative constructions behave in the same way. </w:t>
      </w:r>
    </w:p>
    <w:p w14:paraId="45D45DA8" w14:textId="1E7B26B9" w:rsidR="00AB181E" w:rsidRDefault="0071014A" w:rsidP="005662D8">
      <w:r w:rsidRPr="0071014A">
        <w:lastRenderedPageBreak/>
        <w:t xml:space="preserve">The data for this study are drawn from the </w:t>
      </w:r>
      <w:proofErr w:type="spellStart"/>
      <w:r w:rsidRPr="0071014A">
        <w:t>Word</w:t>
      </w:r>
      <w:r w:rsidR="00D57E2D">
        <w:t>B</w:t>
      </w:r>
      <w:r w:rsidRPr="0071014A">
        <w:t>anks</w:t>
      </w:r>
      <w:r w:rsidR="00D57E2D" w:rsidRPr="00D57E2D">
        <w:t>Online</w:t>
      </w:r>
      <w:proofErr w:type="spellEnd"/>
      <w:r w:rsidRPr="0071014A">
        <w:t xml:space="preserve"> British books </w:t>
      </w:r>
      <w:r w:rsidR="00D57E2D">
        <w:t xml:space="preserve">(HarperCollins 2009) </w:t>
      </w:r>
      <w:r w:rsidRPr="0071014A">
        <w:t xml:space="preserve">and </w:t>
      </w:r>
      <w:proofErr w:type="spellStart"/>
      <w:r w:rsidRPr="0071014A">
        <w:t>Frantext</w:t>
      </w:r>
      <w:proofErr w:type="spellEnd"/>
      <w:r w:rsidRPr="0071014A">
        <w:t xml:space="preserve"> RL-1950 </w:t>
      </w:r>
      <w:r w:rsidR="00CB29CB">
        <w:t xml:space="preserve">(ATILF) </w:t>
      </w:r>
      <w:proofErr w:type="spellStart"/>
      <w:r w:rsidRPr="0071014A">
        <w:t>subcorpora</w:t>
      </w:r>
      <w:proofErr w:type="spellEnd"/>
      <w:r w:rsidRPr="0071014A">
        <w:t xml:space="preserve">. </w:t>
      </w:r>
      <w:r w:rsidR="00CB29CB">
        <w:t>Randomized samples of 100 e</w:t>
      </w:r>
      <w:r w:rsidRPr="0071014A">
        <w:t xml:space="preserve">mbedded </w:t>
      </w:r>
      <w:r w:rsidRPr="0071014A">
        <w:rPr>
          <w:i/>
          <w:iCs/>
        </w:rPr>
        <w:t>what</w:t>
      </w:r>
      <w:r w:rsidRPr="0071014A">
        <w:t xml:space="preserve"> and </w:t>
      </w:r>
      <w:r w:rsidRPr="0071014A">
        <w:rPr>
          <w:i/>
          <w:iCs/>
        </w:rPr>
        <w:t xml:space="preserve">how </w:t>
      </w:r>
      <w:r w:rsidRPr="0071014A">
        <w:t xml:space="preserve">constructions are compared with French </w:t>
      </w:r>
      <w:r w:rsidRPr="0071014A">
        <w:rPr>
          <w:i/>
          <w:iCs/>
        </w:rPr>
        <w:t xml:space="preserve">quel </w:t>
      </w:r>
      <w:r w:rsidRPr="0071014A">
        <w:t xml:space="preserve">and </w:t>
      </w:r>
      <w:r w:rsidRPr="0071014A">
        <w:rPr>
          <w:i/>
          <w:iCs/>
        </w:rPr>
        <w:t xml:space="preserve">combien </w:t>
      </w:r>
      <w:r w:rsidRPr="0071014A">
        <w:t>respectively in terms of the criteria normally associated with their matrix counterparts. These parameters include form (word order, punctuation, ellipsis) and meaning (subjectivity, high degree, surprise). The verbs that are found to licence embedded exclamative constructions (Halliday</w:t>
      </w:r>
      <w:r w:rsidR="00A74120">
        <w:t>/</w:t>
      </w:r>
      <w:r w:rsidRPr="0071014A">
        <w:t xml:space="preserve">Matthiessen 2004) support the </w:t>
      </w:r>
      <w:proofErr w:type="gramStart"/>
      <w:r w:rsidRPr="0071014A">
        <w:t>aforementioned hypothesis</w:t>
      </w:r>
      <w:proofErr w:type="gramEnd"/>
      <w:r w:rsidRPr="0071014A">
        <w:t>.</w:t>
      </w:r>
    </w:p>
    <w:p w14:paraId="7F19BD49" w14:textId="77777777" w:rsidR="00AB181E" w:rsidRDefault="00224AA6">
      <w:pPr>
        <w:pStyle w:val="TableofAuthorities"/>
      </w:pPr>
      <w:r>
        <w:t>References</w:t>
      </w:r>
    </w:p>
    <w:p w14:paraId="77AE866B" w14:textId="0ECF2DF0" w:rsidR="00630C48" w:rsidRPr="00630C48" w:rsidRDefault="00630C48" w:rsidP="00630C48">
      <w:pPr>
        <w:pStyle w:val="Literaturverzeichnis1"/>
        <w:ind w:left="397" w:hanging="397"/>
        <w:rPr>
          <w:lang w:val="en-US"/>
        </w:rPr>
      </w:pPr>
      <w:proofErr w:type="spellStart"/>
      <w:r w:rsidRPr="00630C48">
        <w:rPr>
          <w:lang w:val="en-US"/>
        </w:rPr>
        <w:t>Chernilovskaya</w:t>
      </w:r>
      <w:proofErr w:type="spellEnd"/>
      <w:r w:rsidRPr="00630C48">
        <w:rPr>
          <w:lang w:val="en-US"/>
        </w:rPr>
        <w:t xml:space="preserve">, Anna </w:t>
      </w:r>
      <w:r>
        <w:rPr>
          <w:lang w:val="en-US"/>
        </w:rPr>
        <w:t>(</w:t>
      </w:r>
      <w:r w:rsidRPr="00630C48">
        <w:rPr>
          <w:lang w:val="en-US"/>
        </w:rPr>
        <w:t>2014</w:t>
      </w:r>
      <w:r>
        <w:rPr>
          <w:lang w:val="en-US"/>
        </w:rPr>
        <w:t>):</w:t>
      </w:r>
      <w:r w:rsidRPr="00630C48">
        <w:rPr>
          <w:lang w:val="en-US"/>
        </w:rPr>
        <w:t xml:space="preserve"> Exclamativity in discourse: Exploring the exclamative speech act from a discourse perspective</w:t>
      </w:r>
      <w:r w:rsidRPr="00630C48">
        <w:rPr>
          <w:i/>
          <w:iCs/>
          <w:lang w:val="en-US"/>
        </w:rPr>
        <w:t>.</w:t>
      </w:r>
      <w:r w:rsidRPr="00630C48">
        <w:rPr>
          <w:lang w:val="en-US"/>
        </w:rPr>
        <w:t xml:space="preserve"> PhD Thesis. Utrecht University.</w:t>
      </w:r>
    </w:p>
    <w:p w14:paraId="7D67A9A8" w14:textId="045BDA34" w:rsidR="00630C48" w:rsidRPr="00630C48" w:rsidRDefault="00630C48" w:rsidP="00630C48">
      <w:pPr>
        <w:pStyle w:val="Literaturverzeichnis1"/>
        <w:ind w:left="397" w:hanging="397"/>
        <w:rPr>
          <w:lang w:val="en-US"/>
        </w:rPr>
      </w:pPr>
      <w:r w:rsidRPr="00630C48">
        <w:rPr>
          <w:lang w:val="en-US"/>
        </w:rPr>
        <w:t xml:space="preserve">Collins, Peter </w:t>
      </w:r>
      <w:r>
        <w:rPr>
          <w:lang w:val="en-US"/>
        </w:rPr>
        <w:t>(</w:t>
      </w:r>
      <w:r w:rsidRPr="00630C48">
        <w:rPr>
          <w:lang w:val="en-US"/>
        </w:rPr>
        <w:t>2005</w:t>
      </w:r>
      <w:r>
        <w:rPr>
          <w:lang w:val="en-US"/>
        </w:rPr>
        <w:t>):</w:t>
      </w:r>
      <w:r w:rsidRPr="00630C48">
        <w:rPr>
          <w:lang w:val="en-US"/>
        </w:rPr>
        <w:t xml:space="preserve"> Exclamative clauses in English.</w:t>
      </w:r>
      <w:r>
        <w:rPr>
          <w:lang w:val="en-US"/>
        </w:rPr>
        <w:t xml:space="preserve"> In:</w:t>
      </w:r>
      <w:r w:rsidRPr="00630C48">
        <w:rPr>
          <w:lang w:val="en-US"/>
        </w:rPr>
        <w:t xml:space="preserve"> Word</w:t>
      </w:r>
      <w:r>
        <w:rPr>
          <w:lang w:val="en-US"/>
        </w:rPr>
        <w:t>,</w:t>
      </w:r>
      <w:r w:rsidRPr="00630C48">
        <w:rPr>
          <w:lang w:val="en-US"/>
        </w:rPr>
        <w:t xml:space="preserve"> 56(1)</w:t>
      </w:r>
      <w:r>
        <w:rPr>
          <w:lang w:val="en-US"/>
        </w:rPr>
        <w:t>, pp.</w:t>
      </w:r>
      <w:r w:rsidRPr="00630C48">
        <w:rPr>
          <w:lang w:val="en-US"/>
        </w:rPr>
        <w:t xml:space="preserve"> 1-17.</w:t>
      </w:r>
    </w:p>
    <w:p w14:paraId="0CE49CBA" w14:textId="3DBC764B" w:rsidR="00630C48" w:rsidRDefault="00630C48" w:rsidP="00630C48">
      <w:pPr>
        <w:pStyle w:val="Literaturverzeichnis1"/>
        <w:ind w:left="397" w:hanging="397"/>
        <w:rPr>
          <w:lang w:val="en-US"/>
        </w:rPr>
      </w:pPr>
      <w:r w:rsidRPr="00630C48">
        <w:rPr>
          <w:lang w:val="en-US"/>
        </w:rPr>
        <w:t xml:space="preserve">Elliot, Dale </w:t>
      </w:r>
      <w:r>
        <w:rPr>
          <w:lang w:val="en-US"/>
        </w:rPr>
        <w:t>(</w:t>
      </w:r>
      <w:r w:rsidRPr="00630C48">
        <w:rPr>
          <w:lang w:val="en-US"/>
        </w:rPr>
        <w:t>1974</w:t>
      </w:r>
      <w:r>
        <w:rPr>
          <w:lang w:val="en-US"/>
        </w:rPr>
        <w:t>):</w:t>
      </w:r>
      <w:r w:rsidRPr="00630C48">
        <w:rPr>
          <w:lang w:val="en-US"/>
        </w:rPr>
        <w:t xml:space="preserve"> Toward a grammar of exclamations.</w:t>
      </w:r>
      <w:r>
        <w:rPr>
          <w:lang w:val="en-US"/>
        </w:rPr>
        <w:t xml:space="preserve"> In</w:t>
      </w:r>
      <w:r w:rsidRPr="00630C48">
        <w:rPr>
          <w:lang w:val="en-US"/>
        </w:rPr>
        <w:t>:</w:t>
      </w:r>
      <w:r w:rsidRPr="00630C48">
        <w:rPr>
          <w:lang w:val="en-US"/>
        </w:rPr>
        <w:t xml:space="preserve"> Foundations of Language</w:t>
      </w:r>
      <w:r>
        <w:rPr>
          <w:lang w:val="en-US"/>
        </w:rPr>
        <w:t>,</w:t>
      </w:r>
      <w:r w:rsidRPr="00630C48">
        <w:rPr>
          <w:lang w:val="en-US"/>
        </w:rPr>
        <w:t xml:space="preserve"> 11(2)</w:t>
      </w:r>
      <w:r>
        <w:rPr>
          <w:lang w:val="en-US"/>
        </w:rPr>
        <w:t>, pp.</w:t>
      </w:r>
      <w:r w:rsidRPr="00630C48">
        <w:rPr>
          <w:lang w:val="en-US"/>
        </w:rPr>
        <w:t xml:space="preserve"> 231-246.</w:t>
      </w:r>
    </w:p>
    <w:p w14:paraId="0212F743" w14:textId="34F96940" w:rsidR="00D57E2D" w:rsidRPr="00630C48" w:rsidRDefault="00D57E2D" w:rsidP="00D57E2D">
      <w:pPr>
        <w:pStyle w:val="Literaturverzeichnis1"/>
        <w:ind w:left="397" w:hanging="397"/>
      </w:pPr>
      <w:r w:rsidRPr="00D57E2D">
        <w:rPr>
          <w:lang w:val="en-BE"/>
        </w:rPr>
        <w:t>Frantext</w:t>
      </w:r>
      <w:r>
        <w:t>,</w:t>
      </w:r>
      <w:r w:rsidRPr="00D57E2D">
        <w:rPr>
          <w:lang w:val="en-BE"/>
        </w:rPr>
        <w:t xml:space="preserve"> ATILF, Nancy, 1998-2023,</w:t>
      </w:r>
      <w:r>
        <w:t xml:space="preserve"> </w:t>
      </w:r>
      <w:hyperlink r:id="rId7" w:history="1">
        <w:r w:rsidRPr="00494D0D">
          <w:rPr>
            <w:rStyle w:val="Hyperlink"/>
          </w:rPr>
          <w:t>https://</w:t>
        </w:r>
        <w:r w:rsidRPr="00D57E2D">
          <w:rPr>
            <w:rStyle w:val="Hyperlink"/>
            <w:lang w:val="en-BE"/>
          </w:rPr>
          <w:t>www.frantext.fr</w:t>
        </w:r>
      </w:hyperlink>
      <w:r>
        <w:t xml:space="preserve"> </w:t>
      </w:r>
      <w:r w:rsidR="00F75489">
        <w:t>(</w:t>
      </w:r>
      <w:r>
        <w:t>last access</w:t>
      </w:r>
      <w:r w:rsidRPr="00D57E2D">
        <w:rPr>
          <w:lang w:val="en-BE"/>
        </w:rPr>
        <w:t xml:space="preserve"> </w:t>
      </w:r>
      <w:r w:rsidR="00F75489">
        <w:t>11/05/2023).</w:t>
      </w:r>
    </w:p>
    <w:p w14:paraId="395D4770" w14:textId="1EF9141D" w:rsidR="00630C48" w:rsidRPr="00630C48" w:rsidRDefault="00630C48" w:rsidP="00630C48">
      <w:pPr>
        <w:pStyle w:val="Literaturverzeichnis1"/>
        <w:ind w:left="397" w:hanging="397"/>
        <w:rPr>
          <w:lang w:val="en-US"/>
        </w:rPr>
      </w:pPr>
      <w:r w:rsidRPr="00630C48">
        <w:rPr>
          <w:lang w:val="en-US"/>
        </w:rPr>
        <w:t xml:space="preserve">Grimshaw, Jane </w:t>
      </w:r>
      <w:r>
        <w:rPr>
          <w:lang w:val="en-US"/>
        </w:rPr>
        <w:t>(</w:t>
      </w:r>
      <w:r w:rsidRPr="00630C48">
        <w:rPr>
          <w:lang w:val="en-US"/>
        </w:rPr>
        <w:t>1979</w:t>
      </w:r>
      <w:r>
        <w:rPr>
          <w:lang w:val="en-US"/>
        </w:rPr>
        <w:t>):</w:t>
      </w:r>
      <w:r w:rsidRPr="00630C48">
        <w:rPr>
          <w:lang w:val="en-US"/>
        </w:rPr>
        <w:t xml:space="preserve"> Complement selection and the lexicon.</w:t>
      </w:r>
      <w:r>
        <w:rPr>
          <w:lang w:val="en-US"/>
        </w:rPr>
        <w:t xml:space="preserve"> In:</w:t>
      </w:r>
      <w:r w:rsidRPr="00630C48">
        <w:rPr>
          <w:lang w:val="en-US"/>
        </w:rPr>
        <w:t xml:space="preserve"> Linguistic Inquiry</w:t>
      </w:r>
      <w:r>
        <w:rPr>
          <w:lang w:val="en-US"/>
        </w:rPr>
        <w:t>,</w:t>
      </w:r>
      <w:r w:rsidRPr="00630C48">
        <w:rPr>
          <w:lang w:val="en-US"/>
        </w:rPr>
        <w:t xml:space="preserve"> 10(2)</w:t>
      </w:r>
      <w:r>
        <w:rPr>
          <w:lang w:val="en-US"/>
        </w:rPr>
        <w:t>, pp.</w:t>
      </w:r>
      <w:r w:rsidRPr="00630C48">
        <w:rPr>
          <w:lang w:val="en-US"/>
        </w:rPr>
        <w:t xml:space="preserve"> 279-326.</w:t>
      </w:r>
    </w:p>
    <w:p w14:paraId="4A8A728C" w14:textId="7E5F3DEA" w:rsidR="00630C48" w:rsidRDefault="00630C48" w:rsidP="00630C48">
      <w:pPr>
        <w:pStyle w:val="Literaturverzeichnis1"/>
        <w:ind w:left="397" w:hanging="397"/>
        <w:rPr>
          <w:lang w:val="en-US"/>
        </w:rPr>
      </w:pPr>
      <w:r w:rsidRPr="00630C48">
        <w:rPr>
          <w:lang w:val="en-US"/>
        </w:rPr>
        <w:t>Halliday, Michael</w:t>
      </w:r>
      <w:r>
        <w:rPr>
          <w:lang w:val="en-US"/>
        </w:rPr>
        <w:t>/</w:t>
      </w:r>
      <w:r w:rsidRPr="00630C48">
        <w:rPr>
          <w:lang w:val="en-US"/>
        </w:rPr>
        <w:t>Matthiessen</w:t>
      </w:r>
      <w:r>
        <w:rPr>
          <w:lang w:val="en-US"/>
        </w:rPr>
        <w:t xml:space="preserve">, </w:t>
      </w:r>
      <w:r w:rsidRPr="00630C48">
        <w:rPr>
          <w:lang w:val="en-US"/>
        </w:rPr>
        <w:t xml:space="preserve">Christian </w:t>
      </w:r>
      <w:r>
        <w:rPr>
          <w:lang w:val="en-US"/>
        </w:rPr>
        <w:t>(</w:t>
      </w:r>
      <w:r w:rsidRPr="00630C48">
        <w:rPr>
          <w:lang w:val="en-US"/>
        </w:rPr>
        <w:t>2004</w:t>
      </w:r>
      <w:r>
        <w:rPr>
          <w:lang w:val="en-US"/>
        </w:rPr>
        <w:t>):</w:t>
      </w:r>
      <w:r w:rsidRPr="00630C48">
        <w:rPr>
          <w:lang w:val="en-US"/>
        </w:rPr>
        <w:t xml:space="preserve"> An Introduction to Functional Grammar. London: Routledge.</w:t>
      </w:r>
    </w:p>
    <w:p w14:paraId="26D73185" w14:textId="5137A48E" w:rsidR="00D57E2D" w:rsidRPr="00630C48" w:rsidRDefault="00D57E2D" w:rsidP="00630C48">
      <w:pPr>
        <w:pStyle w:val="Literaturverzeichnis1"/>
        <w:ind w:left="397" w:hanging="397"/>
        <w:rPr>
          <w:lang w:val="en-US"/>
        </w:rPr>
      </w:pPr>
      <w:r>
        <w:rPr>
          <w:lang w:val="en-US"/>
        </w:rPr>
        <w:t xml:space="preserve">HarperCollins (2009): </w:t>
      </w:r>
      <w:proofErr w:type="spellStart"/>
      <w:r>
        <w:rPr>
          <w:lang w:val="en-US"/>
        </w:rPr>
        <w:t>WordBanksOnline</w:t>
      </w:r>
      <w:proofErr w:type="spellEnd"/>
      <w:r>
        <w:rPr>
          <w:lang w:val="en-US"/>
        </w:rPr>
        <w:t xml:space="preserve">. </w:t>
      </w:r>
      <w:hyperlink r:id="rId8" w:history="1">
        <w:r w:rsidRPr="00D57E2D">
          <w:rPr>
            <w:rStyle w:val="Hyperlink"/>
          </w:rPr>
          <w:t>https://wordbanks.harpercollins.co.uk/release_notes/WordBanksOnline_English.html</w:t>
        </w:r>
      </w:hyperlink>
      <w:r>
        <w:rPr>
          <w:lang w:val="en-US"/>
        </w:rPr>
        <w:t xml:space="preserve"> (last access 11/05/2023).</w:t>
      </w:r>
    </w:p>
    <w:p w14:paraId="3C593D0D" w14:textId="49E40CFE" w:rsidR="00630C48" w:rsidRPr="00630C48" w:rsidRDefault="00630C48" w:rsidP="00630C48">
      <w:pPr>
        <w:pStyle w:val="Literaturverzeichnis1"/>
        <w:ind w:left="397" w:hanging="397"/>
        <w:rPr>
          <w:lang w:val="en-US"/>
        </w:rPr>
      </w:pPr>
      <w:r w:rsidRPr="00630C48">
        <w:rPr>
          <w:lang w:val="en-US"/>
        </w:rPr>
        <w:t>Huddleston, Rodney</w:t>
      </w:r>
      <w:r>
        <w:rPr>
          <w:lang w:val="en-US"/>
        </w:rPr>
        <w:t>/</w:t>
      </w:r>
      <w:r w:rsidRPr="00630C48">
        <w:rPr>
          <w:lang w:val="en-US"/>
        </w:rPr>
        <w:t>Pullum</w:t>
      </w:r>
      <w:r>
        <w:rPr>
          <w:lang w:val="en-US"/>
        </w:rPr>
        <w:t xml:space="preserve">, </w:t>
      </w:r>
      <w:r w:rsidRPr="00630C48">
        <w:rPr>
          <w:lang w:val="en-US"/>
        </w:rPr>
        <w:t xml:space="preserve">Geoffrey </w:t>
      </w:r>
      <w:r>
        <w:rPr>
          <w:lang w:val="en-US"/>
        </w:rPr>
        <w:t>(</w:t>
      </w:r>
      <w:r w:rsidRPr="00630C48">
        <w:rPr>
          <w:lang w:val="en-US"/>
        </w:rPr>
        <w:t>2002</w:t>
      </w:r>
      <w:r>
        <w:rPr>
          <w:lang w:val="en-US"/>
        </w:rPr>
        <w:t>):</w:t>
      </w:r>
      <w:r w:rsidRPr="00630C48">
        <w:rPr>
          <w:lang w:val="en-US"/>
        </w:rPr>
        <w:t xml:space="preserve"> The Cambridge grammar of the English language</w:t>
      </w:r>
      <w:r w:rsidRPr="00630C48">
        <w:rPr>
          <w:i/>
          <w:iCs/>
          <w:lang w:val="en-US"/>
        </w:rPr>
        <w:t>.</w:t>
      </w:r>
      <w:r w:rsidRPr="00630C48">
        <w:rPr>
          <w:lang w:val="en-US"/>
        </w:rPr>
        <w:t xml:space="preserve"> Cambridge: Cambridge University Press.</w:t>
      </w:r>
    </w:p>
    <w:p w14:paraId="4687ED8B" w14:textId="0C3BB1FC" w:rsidR="00630C48" w:rsidRPr="00630C48" w:rsidRDefault="00630C48" w:rsidP="00630C48">
      <w:pPr>
        <w:pStyle w:val="Literaturverzeichnis1"/>
        <w:ind w:left="397" w:hanging="397"/>
        <w:rPr>
          <w:lang w:val="en-US"/>
        </w:rPr>
      </w:pPr>
      <w:proofErr w:type="spellStart"/>
      <w:r w:rsidRPr="00630C48">
        <w:rPr>
          <w:lang w:val="en-US"/>
        </w:rPr>
        <w:t>Kerfélec</w:t>
      </w:r>
      <w:proofErr w:type="spellEnd"/>
      <w:r w:rsidRPr="00630C48">
        <w:rPr>
          <w:lang w:val="en-US"/>
        </w:rPr>
        <w:t xml:space="preserve">, Valérie </w:t>
      </w:r>
      <w:r>
        <w:rPr>
          <w:lang w:val="en-US"/>
        </w:rPr>
        <w:t>(</w:t>
      </w:r>
      <w:r w:rsidRPr="00630C48">
        <w:rPr>
          <w:lang w:val="en-US"/>
        </w:rPr>
        <w:t>2009</w:t>
      </w:r>
      <w:r>
        <w:rPr>
          <w:lang w:val="en-US"/>
        </w:rPr>
        <w:t>)</w:t>
      </w:r>
      <w:r w:rsidRPr="00630C48">
        <w:rPr>
          <w:lang w:val="en-US"/>
        </w:rPr>
        <w:t xml:space="preserve"> </w:t>
      </w:r>
      <w:proofErr w:type="spellStart"/>
      <w:r w:rsidRPr="00630C48">
        <w:rPr>
          <w:lang w:val="en-US"/>
        </w:rPr>
        <w:t>L’exclamation</w:t>
      </w:r>
      <w:proofErr w:type="spellEnd"/>
      <w:r w:rsidRPr="00630C48">
        <w:rPr>
          <w:lang w:val="en-US"/>
        </w:rPr>
        <w:t xml:space="preserve"> </w:t>
      </w:r>
      <w:proofErr w:type="spellStart"/>
      <w:r w:rsidRPr="00630C48">
        <w:rPr>
          <w:lang w:val="en-US"/>
        </w:rPr>
        <w:t>en</w:t>
      </w:r>
      <w:proofErr w:type="spellEnd"/>
      <w:r w:rsidRPr="00630C48">
        <w:rPr>
          <w:lang w:val="en-US"/>
        </w:rPr>
        <w:t xml:space="preserve"> </w:t>
      </w:r>
      <w:proofErr w:type="spellStart"/>
      <w:r w:rsidRPr="00630C48">
        <w:rPr>
          <w:lang w:val="en-US"/>
        </w:rPr>
        <w:t>français</w:t>
      </w:r>
      <w:proofErr w:type="spellEnd"/>
      <w:r w:rsidRPr="00630C48">
        <w:rPr>
          <w:lang w:val="en-US"/>
        </w:rPr>
        <w:t xml:space="preserve"> et </w:t>
      </w:r>
      <w:proofErr w:type="spellStart"/>
      <w:r w:rsidRPr="00630C48">
        <w:rPr>
          <w:lang w:val="en-US"/>
        </w:rPr>
        <w:t>en</w:t>
      </w:r>
      <w:proofErr w:type="spellEnd"/>
      <w:r w:rsidRPr="00630C48">
        <w:rPr>
          <w:lang w:val="en-US"/>
        </w:rPr>
        <w:t xml:space="preserve"> anglaise. </w:t>
      </w:r>
      <w:proofErr w:type="spellStart"/>
      <w:r w:rsidRPr="00630C48">
        <w:rPr>
          <w:lang w:val="en-US"/>
        </w:rPr>
        <w:t>Formes</w:t>
      </w:r>
      <w:proofErr w:type="spellEnd"/>
      <w:r w:rsidRPr="00630C48">
        <w:rPr>
          <w:lang w:val="en-US"/>
        </w:rPr>
        <w:t xml:space="preserve">, </w:t>
      </w:r>
      <w:proofErr w:type="spellStart"/>
      <w:r w:rsidRPr="00630C48">
        <w:rPr>
          <w:lang w:val="en-US"/>
        </w:rPr>
        <w:t>sens</w:t>
      </w:r>
      <w:proofErr w:type="spellEnd"/>
      <w:r w:rsidRPr="00630C48">
        <w:rPr>
          <w:lang w:val="en-US"/>
        </w:rPr>
        <w:t xml:space="preserve">, </w:t>
      </w:r>
      <w:proofErr w:type="spellStart"/>
      <w:r w:rsidRPr="00630C48">
        <w:rPr>
          <w:lang w:val="en-US"/>
        </w:rPr>
        <w:t>effets</w:t>
      </w:r>
      <w:proofErr w:type="spellEnd"/>
      <w:r w:rsidRPr="00630C48">
        <w:rPr>
          <w:lang w:val="en-US"/>
        </w:rPr>
        <w:t xml:space="preserve">. Aix-en-Provence: Publications de </w:t>
      </w:r>
      <w:proofErr w:type="spellStart"/>
      <w:r w:rsidRPr="00630C48">
        <w:rPr>
          <w:lang w:val="en-US"/>
        </w:rPr>
        <w:t>l’Université</w:t>
      </w:r>
      <w:proofErr w:type="spellEnd"/>
      <w:r w:rsidRPr="00630C48">
        <w:rPr>
          <w:lang w:val="en-US"/>
        </w:rPr>
        <w:t xml:space="preserve"> de Provence.</w:t>
      </w:r>
    </w:p>
    <w:p w14:paraId="67B0D4D2" w14:textId="1CB8FB8B" w:rsidR="00630C48" w:rsidRPr="00630C48" w:rsidRDefault="00630C48" w:rsidP="00630C48">
      <w:pPr>
        <w:pStyle w:val="Literaturverzeichnis1"/>
        <w:ind w:left="397" w:hanging="397"/>
        <w:rPr>
          <w:lang w:val="en-US"/>
        </w:rPr>
      </w:pPr>
      <w:proofErr w:type="spellStart"/>
      <w:r w:rsidRPr="00630C48">
        <w:rPr>
          <w:lang w:val="en-US"/>
        </w:rPr>
        <w:t>Krawczak</w:t>
      </w:r>
      <w:proofErr w:type="spellEnd"/>
      <w:r w:rsidRPr="00630C48">
        <w:rPr>
          <w:lang w:val="en-US"/>
        </w:rPr>
        <w:t>, Karolina</w:t>
      </w:r>
      <w:r>
        <w:rPr>
          <w:lang w:val="en-US"/>
        </w:rPr>
        <w:t>/</w:t>
      </w:r>
      <w:r w:rsidRPr="00630C48">
        <w:rPr>
          <w:lang w:val="en-US"/>
        </w:rPr>
        <w:t>Dylan</w:t>
      </w:r>
      <w:r>
        <w:rPr>
          <w:lang w:val="en-US"/>
        </w:rPr>
        <w:t xml:space="preserve"> </w:t>
      </w:r>
      <w:r w:rsidRPr="00630C48">
        <w:rPr>
          <w:lang w:val="en-US"/>
        </w:rPr>
        <w:t xml:space="preserve">Glynn </w:t>
      </w:r>
      <w:r>
        <w:rPr>
          <w:lang w:val="en-US"/>
        </w:rPr>
        <w:t>(</w:t>
      </w:r>
      <w:r w:rsidRPr="00630C48">
        <w:rPr>
          <w:lang w:val="en-US"/>
        </w:rPr>
        <w:t>2015</w:t>
      </w:r>
      <w:r>
        <w:rPr>
          <w:lang w:val="en-US"/>
        </w:rPr>
        <w:t>):</w:t>
      </w:r>
      <w:r w:rsidRPr="00630C48">
        <w:rPr>
          <w:lang w:val="en-US"/>
        </w:rPr>
        <w:t xml:space="preserve"> Operationalizing mirativity: A usage-based quantitative study of constructional construal in English. </w:t>
      </w:r>
      <w:r>
        <w:rPr>
          <w:lang w:val="en-US"/>
        </w:rPr>
        <w:t xml:space="preserve">In: </w:t>
      </w:r>
      <w:r w:rsidRPr="00630C48">
        <w:rPr>
          <w:lang w:val="en-US"/>
        </w:rPr>
        <w:t>English Review of Cognitive Linguistics</w:t>
      </w:r>
      <w:r>
        <w:rPr>
          <w:i/>
          <w:iCs/>
          <w:lang w:val="en-US"/>
        </w:rPr>
        <w:t>,</w:t>
      </w:r>
      <w:r w:rsidRPr="00630C48">
        <w:rPr>
          <w:lang w:val="en-US"/>
        </w:rPr>
        <w:t xml:space="preserve"> 13(2)</w:t>
      </w:r>
      <w:r>
        <w:rPr>
          <w:lang w:val="en-US"/>
        </w:rPr>
        <w:t>, pp.</w:t>
      </w:r>
      <w:r w:rsidRPr="00630C48">
        <w:rPr>
          <w:lang w:val="en-US"/>
        </w:rPr>
        <w:t xml:space="preserve"> 353-382.</w:t>
      </w:r>
    </w:p>
    <w:p w14:paraId="05E168A4" w14:textId="7055B675" w:rsidR="00630C48" w:rsidRPr="00630C48" w:rsidRDefault="00630C48" w:rsidP="00630C48">
      <w:pPr>
        <w:pStyle w:val="Literaturverzeichnis1"/>
        <w:ind w:left="397" w:hanging="397"/>
        <w:rPr>
          <w:lang w:val="en-US"/>
        </w:rPr>
      </w:pPr>
      <w:r w:rsidRPr="00630C48">
        <w:rPr>
          <w:lang w:val="en-US"/>
        </w:rPr>
        <w:t>Michaelis, Laura</w:t>
      </w:r>
      <w:r w:rsidR="006F3EE0">
        <w:rPr>
          <w:lang w:val="en-US"/>
        </w:rPr>
        <w:t>/</w:t>
      </w:r>
      <w:r w:rsidRPr="00630C48">
        <w:rPr>
          <w:lang w:val="en-US"/>
        </w:rPr>
        <w:t>Lambrecht</w:t>
      </w:r>
      <w:r w:rsidR="006F3EE0">
        <w:rPr>
          <w:lang w:val="en-US"/>
        </w:rPr>
        <w:t xml:space="preserve">, </w:t>
      </w:r>
      <w:proofErr w:type="spellStart"/>
      <w:r w:rsidR="006F3EE0" w:rsidRPr="00630C48">
        <w:rPr>
          <w:lang w:val="en-US"/>
        </w:rPr>
        <w:t>Knud</w:t>
      </w:r>
      <w:proofErr w:type="spellEnd"/>
      <w:r w:rsidRPr="00630C48">
        <w:rPr>
          <w:lang w:val="en-US"/>
        </w:rPr>
        <w:t xml:space="preserve"> </w:t>
      </w:r>
      <w:r w:rsidR="006F3EE0">
        <w:rPr>
          <w:lang w:val="en-US"/>
        </w:rPr>
        <w:t>(</w:t>
      </w:r>
      <w:r w:rsidRPr="00630C48">
        <w:rPr>
          <w:lang w:val="en-US"/>
        </w:rPr>
        <w:t>1996</w:t>
      </w:r>
      <w:r w:rsidR="006F3EE0">
        <w:rPr>
          <w:lang w:val="en-US"/>
        </w:rPr>
        <w:t>):</w:t>
      </w:r>
      <w:r w:rsidRPr="00630C48">
        <w:rPr>
          <w:lang w:val="en-US"/>
        </w:rPr>
        <w:t xml:space="preserve"> Toward a construction-based theory of language function: The case of nominal extraposition.</w:t>
      </w:r>
      <w:r w:rsidR="006F3EE0">
        <w:rPr>
          <w:lang w:val="en-US"/>
        </w:rPr>
        <w:t xml:space="preserve"> In:</w:t>
      </w:r>
      <w:r w:rsidRPr="00630C48">
        <w:rPr>
          <w:lang w:val="en-US"/>
        </w:rPr>
        <w:t xml:space="preserve"> Language</w:t>
      </w:r>
      <w:r w:rsidR="006F3EE0">
        <w:rPr>
          <w:lang w:val="en-US"/>
        </w:rPr>
        <w:t>,</w:t>
      </w:r>
      <w:r w:rsidRPr="00630C48">
        <w:rPr>
          <w:lang w:val="en-US"/>
        </w:rPr>
        <w:t xml:space="preserve"> 72(2)</w:t>
      </w:r>
      <w:r w:rsidR="006F3EE0">
        <w:rPr>
          <w:lang w:val="en-US"/>
        </w:rPr>
        <w:t>, pp.</w:t>
      </w:r>
      <w:r w:rsidRPr="00630C48">
        <w:rPr>
          <w:lang w:val="en-US"/>
        </w:rPr>
        <w:t xml:space="preserve"> 215-247.</w:t>
      </w:r>
    </w:p>
    <w:p w14:paraId="337801B8" w14:textId="7A987268" w:rsidR="00630C48" w:rsidRPr="00630C48" w:rsidRDefault="00630C48" w:rsidP="00630C48">
      <w:pPr>
        <w:pStyle w:val="Literaturverzeichnis1"/>
        <w:ind w:left="397" w:hanging="397"/>
        <w:rPr>
          <w:lang w:val="en-US"/>
        </w:rPr>
      </w:pPr>
      <w:r w:rsidRPr="00630C48">
        <w:rPr>
          <w:lang w:val="en-US"/>
        </w:rPr>
        <w:t>Michaelis, Laura</w:t>
      </w:r>
      <w:r w:rsidR="006F3EE0">
        <w:rPr>
          <w:lang w:val="en-US"/>
        </w:rPr>
        <w:t xml:space="preserve"> (</w:t>
      </w:r>
      <w:r w:rsidRPr="00630C48">
        <w:rPr>
          <w:lang w:val="en-US"/>
        </w:rPr>
        <w:t>2001</w:t>
      </w:r>
      <w:r w:rsidR="006F3EE0">
        <w:rPr>
          <w:lang w:val="en-US"/>
        </w:rPr>
        <w:t>):</w:t>
      </w:r>
      <w:r w:rsidRPr="00630C48">
        <w:rPr>
          <w:lang w:val="en-US"/>
        </w:rPr>
        <w:t xml:space="preserve"> Exclamative Constructions. In</w:t>
      </w:r>
      <w:r w:rsidR="006F3EE0">
        <w:rPr>
          <w:lang w:val="en-US"/>
        </w:rPr>
        <w:t>:</w:t>
      </w:r>
      <w:r w:rsidRPr="00630C48">
        <w:rPr>
          <w:lang w:val="en-US"/>
        </w:rPr>
        <w:t xml:space="preserve"> </w:t>
      </w:r>
      <w:proofErr w:type="spellStart"/>
      <w:r w:rsidRPr="00630C48">
        <w:rPr>
          <w:lang w:val="en-US"/>
        </w:rPr>
        <w:t>Haspelmath</w:t>
      </w:r>
      <w:proofErr w:type="spellEnd"/>
      <w:r w:rsidR="006F3EE0">
        <w:rPr>
          <w:lang w:val="en-US"/>
        </w:rPr>
        <w:t xml:space="preserve"> </w:t>
      </w:r>
      <w:r w:rsidR="006F3EE0" w:rsidRPr="00630C48">
        <w:rPr>
          <w:lang w:val="en-US"/>
        </w:rPr>
        <w:t>Martin</w:t>
      </w:r>
      <w:r w:rsidR="006F3EE0">
        <w:rPr>
          <w:lang w:val="en-US"/>
        </w:rPr>
        <w:t>/</w:t>
      </w:r>
      <w:r w:rsidR="006F3EE0" w:rsidRPr="00630C48">
        <w:rPr>
          <w:lang w:val="en-US"/>
        </w:rPr>
        <w:t>König</w:t>
      </w:r>
      <w:r w:rsidR="006F3EE0">
        <w:rPr>
          <w:lang w:val="en-US"/>
        </w:rPr>
        <w:t>,</w:t>
      </w:r>
      <w:r w:rsidR="006F3EE0" w:rsidRPr="00630C48">
        <w:rPr>
          <w:lang w:val="en-US"/>
        </w:rPr>
        <w:t xml:space="preserve"> </w:t>
      </w:r>
      <w:r w:rsidRPr="00630C48">
        <w:rPr>
          <w:lang w:val="en-US"/>
        </w:rPr>
        <w:t>Ekkehard</w:t>
      </w:r>
      <w:r w:rsidR="006F3EE0">
        <w:rPr>
          <w:lang w:val="en-US"/>
        </w:rPr>
        <w:t>/</w:t>
      </w:r>
      <w:proofErr w:type="spellStart"/>
      <w:r w:rsidRPr="00630C48">
        <w:rPr>
          <w:lang w:val="en-US"/>
        </w:rPr>
        <w:t>Oesterreicher</w:t>
      </w:r>
      <w:proofErr w:type="spellEnd"/>
      <w:r w:rsidR="006F3EE0">
        <w:rPr>
          <w:lang w:val="en-US"/>
        </w:rPr>
        <w:t xml:space="preserve">, </w:t>
      </w:r>
      <w:r w:rsidR="006F3EE0" w:rsidRPr="00630C48">
        <w:rPr>
          <w:lang w:val="en-US"/>
        </w:rPr>
        <w:t>Wulf</w:t>
      </w:r>
      <w:r w:rsidR="006F3EE0">
        <w:rPr>
          <w:lang w:val="en-US"/>
        </w:rPr>
        <w:t>/</w:t>
      </w:r>
      <w:proofErr w:type="spellStart"/>
      <w:r w:rsidRPr="00630C48">
        <w:rPr>
          <w:lang w:val="en-US"/>
        </w:rPr>
        <w:t>Raible</w:t>
      </w:r>
      <w:proofErr w:type="spellEnd"/>
      <w:r w:rsidR="006F3EE0">
        <w:rPr>
          <w:lang w:val="en-US"/>
        </w:rPr>
        <w:t xml:space="preserve">, </w:t>
      </w:r>
      <w:r w:rsidR="006F3EE0" w:rsidRPr="00630C48">
        <w:rPr>
          <w:lang w:val="en-US"/>
        </w:rPr>
        <w:t>Wolfgang</w:t>
      </w:r>
      <w:r w:rsidRPr="00630C48">
        <w:rPr>
          <w:lang w:val="en-US"/>
        </w:rPr>
        <w:t xml:space="preserve"> (eds.)</w:t>
      </w:r>
      <w:r w:rsidR="006F3EE0">
        <w:rPr>
          <w:lang w:val="en-US"/>
        </w:rPr>
        <w:t>:</w:t>
      </w:r>
      <w:r w:rsidRPr="00630C48">
        <w:rPr>
          <w:lang w:val="en-US"/>
        </w:rPr>
        <w:t xml:space="preserve"> Language typology and language universals </w:t>
      </w:r>
      <w:r w:rsidR="006F3EE0">
        <w:rPr>
          <w:lang w:val="en-US"/>
        </w:rPr>
        <w:t>(</w:t>
      </w:r>
      <w:r w:rsidRPr="00630C48">
        <w:rPr>
          <w:lang w:val="en-US"/>
        </w:rPr>
        <w:t>2</w:t>
      </w:r>
      <w:r w:rsidR="006F3EE0">
        <w:rPr>
          <w:lang w:val="en-US"/>
        </w:rPr>
        <w:t xml:space="preserve">), </w:t>
      </w:r>
      <w:r w:rsidRPr="00630C48">
        <w:rPr>
          <w:lang w:val="en-US"/>
        </w:rPr>
        <w:t>Berlin: De Gruyter</w:t>
      </w:r>
      <w:r w:rsidR="006F3EE0">
        <w:rPr>
          <w:lang w:val="en-US"/>
        </w:rPr>
        <w:t xml:space="preserve">, </w:t>
      </w:r>
      <w:r w:rsidR="006F3EE0">
        <w:rPr>
          <w:lang w:val="en-US"/>
        </w:rPr>
        <w:t>pp.</w:t>
      </w:r>
      <w:r w:rsidR="006F3EE0" w:rsidRPr="00630C48">
        <w:rPr>
          <w:lang w:val="en-US"/>
        </w:rPr>
        <w:t xml:space="preserve"> 1038-1050.</w:t>
      </w:r>
    </w:p>
    <w:p w14:paraId="68C2B2C7" w14:textId="35FC1A8F" w:rsidR="00630C48" w:rsidRPr="00630C48" w:rsidRDefault="00630C48" w:rsidP="00630C48">
      <w:pPr>
        <w:pStyle w:val="Literaturverzeichnis1"/>
        <w:ind w:left="397" w:hanging="397"/>
        <w:rPr>
          <w:lang w:val="en-US"/>
        </w:rPr>
      </w:pPr>
      <w:r w:rsidRPr="00630C48">
        <w:rPr>
          <w:lang w:val="en-US"/>
        </w:rPr>
        <w:t>Rett, Jessic</w:t>
      </w:r>
      <w:r w:rsidR="007D7E38">
        <w:rPr>
          <w:lang w:val="en-US"/>
        </w:rPr>
        <w:t>a</w:t>
      </w:r>
      <w:r w:rsidRPr="00630C48">
        <w:rPr>
          <w:lang w:val="en-US"/>
        </w:rPr>
        <w:t xml:space="preserve"> </w:t>
      </w:r>
      <w:r w:rsidR="007D7E38">
        <w:rPr>
          <w:lang w:val="en-US"/>
        </w:rPr>
        <w:t>(</w:t>
      </w:r>
      <w:r w:rsidRPr="00630C48">
        <w:rPr>
          <w:lang w:val="en-US"/>
        </w:rPr>
        <w:t>2008</w:t>
      </w:r>
      <w:r w:rsidR="007D7E38">
        <w:rPr>
          <w:lang w:val="en-US"/>
        </w:rPr>
        <w:t>):</w:t>
      </w:r>
      <w:r w:rsidRPr="00630C48">
        <w:rPr>
          <w:lang w:val="en-US"/>
        </w:rPr>
        <w:t xml:space="preserve"> A degree account of exclamatives. In</w:t>
      </w:r>
      <w:r w:rsidR="007D7E38">
        <w:rPr>
          <w:lang w:val="en-US"/>
        </w:rPr>
        <w:t>:</w:t>
      </w:r>
      <w:r w:rsidRPr="00630C48">
        <w:rPr>
          <w:lang w:val="en-US"/>
        </w:rPr>
        <w:t xml:space="preserve"> Gibson</w:t>
      </w:r>
      <w:r w:rsidR="007D7E38">
        <w:rPr>
          <w:lang w:val="en-US"/>
        </w:rPr>
        <w:t>/</w:t>
      </w:r>
      <w:r w:rsidRPr="00630C48">
        <w:rPr>
          <w:lang w:val="en-US"/>
        </w:rPr>
        <w:t>Friedman (eds.). Proceedings of Semantics and Linguistics Theory XVIII</w:t>
      </w:r>
      <w:r w:rsidRPr="00630C48">
        <w:rPr>
          <w:i/>
          <w:iCs/>
          <w:lang w:val="en-US"/>
        </w:rPr>
        <w:t>.</w:t>
      </w:r>
      <w:r w:rsidRPr="00630C48">
        <w:rPr>
          <w:lang w:val="en-US"/>
        </w:rPr>
        <w:t xml:space="preserve"> Ithaca, NY: CLC Publications.</w:t>
      </w:r>
    </w:p>
    <w:p w14:paraId="10517B73" w14:textId="6C06EC1C" w:rsidR="00630C48" w:rsidRPr="00630C48" w:rsidRDefault="00630C48" w:rsidP="00630C48">
      <w:pPr>
        <w:pStyle w:val="Literaturverzeichnis1"/>
        <w:ind w:left="397" w:hanging="397"/>
        <w:rPr>
          <w:lang w:val="en-US"/>
        </w:rPr>
      </w:pPr>
      <w:r w:rsidRPr="00630C48">
        <w:t xml:space="preserve">Rett, Jessica </w:t>
      </w:r>
      <w:r w:rsidR="007D7E38">
        <w:t>(</w:t>
      </w:r>
      <w:r w:rsidRPr="00630C48">
        <w:t>2011</w:t>
      </w:r>
      <w:r w:rsidR="007D7E38">
        <w:t>):</w:t>
      </w:r>
      <w:r w:rsidRPr="00630C48">
        <w:t xml:space="preserve"> Exclamatives, degrees and speech acts.</w:t>
      </w:r>
      <w:r w:rsidR="007D7E38">
        <w:t xml:space="preserve"> In:</w:t>
      </w:r>
      <w:r w:rsidRPr="00630C48">
        <w:t xml:space="preserve"> Linguistics and Philosophy</w:t>
      </w:r>
      <w:r w:rsidR="007D7E38">
        <w:t>,</w:t>
      </w:r>
      <w:r w:rsidRPr="00630C48">
        <w:t xml:space="preserve"> 34</w:t>
      </w:r>
      <w:r w:rsidR="007D7E38">
        <w:t>, pp.</w:t>
      </w:r>
      <w:r w:rsidRPr="00630C48">
        <w:t xml:space="preserve"> 411-</w:t>
      </w:r>
      <w:r w:rsidRPr="00630C48">
        <w:rPr>
          <w:lang w:val="en-US"/>
        </w:rPr>
        <w:t>442.</w:t>
      </w:r>
    </w:p>
    <w:p w14:paraId="20F9A79F" w14:textId="2D2BDEBA" w:rsidR="00630C48" w:rsidRDefault="00630C48" w:rsidP="00630C48">
      <w:pPr>
        <w:pStyle w:val="Literaturverzeichnis1"/>
        <w:ind w:left="397" w:hanging="397"/>
      </w:pPr>
      <w:r w:rsidRPr="00630C48">
        <w:t xml:space="preserve">Trotta, Joe </w:t>
      </w:r>
      <w:r w:rsidR="007D7E38">
        <w:t>(</w:t>
      </w:r>
      <w:r w:rsidRPr="00630C48">
        <w:t>2000</w:t>
      </w:r>
      <w:r w:rsidR="007D7E38">
        <w:t>):</w:t>
      </w:r>
      <w:r w:rsidRPr="00630C48">
        <w:t xml:space="preserve"> </w:t>
      </w:r>
      <w:proofErr w:type="spellStart"/>
      <w:r w:rsidRPr="00630C48">
        <w:t>Wh</w:t>
      </w:r>
      <w:proofErr w:type="spellEnd"/>
      <w:r w:rsidRPr="00630C48">
        <w:t>-clauses in English: Aspects of theory and description</w:t>
      </w:r>
      <w:r w:rsidRPr="00630C48">
        <w:rPr>
          <w:i/>
          <w:iCs/>
        </w:rPr>
        <w:t>.</w:t>
      </w:r>
      <w:r w:rsidRPr="00630C48">
        <w:t xml:space="preserve"> Amsterdam: </w:t>
      </w:r>
      <w:proofErr w:type="spellStart"/>
      <w:r w:rsidRPr="00630C48">
        <w:t>Rodopi</w:t>
      </w:r>
      <w:proofErr w:type="spellEnd"/>
      <w:r w:rsidRPr="00630C48">
        <w:t>.</w:t>
      </w:r>
    </w:p>
    <w:p w14:paraId="070C475C" w14:textId="57D25084" w:rsidR="007D7E38" w:rsidRPr="00630C48" w:rsidRDefault="007D7E38" w:rsidP="00630C48">
      <w:pPr>
        <w:pStyle w:val="Literaturverzeichnis1"/>
        <w:ind w:left="397" w:hanging="397"/>
      </w:pPr>
      <w:r>
        <w:t>Troughton, Faye/</w:t>
      </w:r>
      <w:proofErr w:type="spellStart"/>
      <w:r>
        <w:t>Ghesquière</w:t>
      </w:r>
      <w:proofErr w:type="spellEnd"/>
      <w:r>
        <w:t xml:space="preserve"> </w:t>
      </w:r>
      <w:proofErr w:type="spellStart"/>
      <w:r>
        <w:t>Lobke</w:t>
      </w:r>
      <w:proofErr w:type="spellEnd"/>
      <w:r>
        <w:t xml:space="preserve"> (2022):</w:t>
      </w:r>
      <w:r w:rsidR="005C7C0F">
        <w:t xml:space="preserve"> I never realized how controversial it was: On the embedded exclamative. Paper presented at BAAHE Conference, University of Liège, Belgium, 2 December 2022.</w:t>
      </w:r>
    </w:p>
    <w:p w14:paraId="24A0451F" w14:textId="1A4E7F0E" w:rsidR="00630C48" w:rsidRPr="00630C48" w:rsidRDefault="00630C48" w:rsidP="00630C48">
      <w:pPr>
        <w:pStyle w:val="Literaturverzeichnis1"/>
        <w:ind w:left="397" w:hanging="397"/>
      </w:pPr>
      <w:r w:rsidRPr="00630C48">
        <w:t xml:space="preserve">Unger, Christoph </w:t>
      </w:r>
      <w:r w:rsidR="007D7E38">
        <w:t>(</w:t>
      </w:r>
      <w:r w:rsidRPr="00630C48">
        <w:t>2019</w:t>
      </w:r>
      <w:r w:rsidR="007D7E38">
        <w:t>):</w:t>
      </w:r>
      <w:r w:rsidRPr="00630C48">
        <w:t xml:space="preserve"> Exclamatives, exclamations, miratives and speaker’s meaning.</w:t>
      </w:r>
      <w:r w:rsidR="007D7E38">
        <w:t xml:space="preserve"> In</w:t>
      </w:r>
      <w:r w:rsidR="007D7E38" w:rsidRPr="007D7E38">
        <w:t>:</w:t>
      </w:r>
      <w:r w:rsidRPr="00630C48">
        <w:t xml:space="preserve"> International Review of Pragmatic</w:t>
      </w:r>
      <w:r w:rsidR="007D7E38">
        <w:t>s,</w:t>
      </w:r>
      <w:r w:rsidRPr="00630C48">
        <w:t xml:space="preserve"> 11</w:t>
      </w:r>
      <w:r w:rsidR="007D7E38">
        <w:t>, pp.</w:t>
      </w:r>
      <w:r w:rsidRPr="00630C48">
        <w:t xml:space="preserve"> 272-300.</w:t>
      </w:r>
    </w:p>
    <w:p w14:paraId="33887F3E" w14:textId="64AF1E57" w:rsidR="00630C48" w:rsidRPr="00630C48" w:rsidRDefault="00630C48" w:rsidP="00630C48">
      <w:pPr>
        <w:pStyle w:val="Literaturverzeichnis1"/>
        <w:ind w:left="397" w:hanging="397"/>
      </w:pPr>
      <w:proofErr w:type="spellStart"/>
      <w:r w:rsidRPr="00630C48">
        <w:t>Zanuttini</w:t>
      </w:r>
      <w:proofErr w:type="spellEnd"/>
      <w:r w:rsidRPr="00630C48">
        <w:t>, Raffaella</w:t>
      </w:r>
      <w:r w:rsidR="007D7E38">
        <w:t>/</w:t>
      </w:r>
      <w:proofErr w:type="spellStart"/>
      <w:r w:rsidRPr="00630C48">
        <w:t>Portner</w:t>
      </w:r>
      <w:proofErr w:type="spellEnd"/>
      <w:r w:rsidR="007D7E38">
        <w:t>,</w:t>
      </w:r>
      <w:r w:rsidR="007D7E38" w:rsidRPr="007D7E38">
        <w:t xml:space="preserve"> </w:t>
      </w:r>
      <w:r w:rsidR="007D7E38" w:rsidRPr="00630C48">
        <w:t>Paul</w:t>
      </w:r>
      <w:r w:rsidRPr="00630C48">
        <w:t xml:space="preserve"> </w:t>
      </w:r>
      <w:r w:rsidR="007D7E38">
        <w:t>(</w:t>
      </w:r>
      <w:r w:rsidRPr="00630C48">
        <w:t>2003</w:t>
      </w:r>
      <w:r w:rsidR="007D7E38">
        <w:t>):</w:t>
      </w:r>
      <w:r w:rsidRPr="00630C48">
        <w:t xml:space="preserve"> Exclamative clauses: At the syntax-semantics interface.</w:t>
      </w:r>
      <w:r w:rsidR="007D7E38">
        <w:t xml:space="preserve"> In:</w:t>
      </w:r>
      <w:r w:rsidRPr="00630C48">
        <w:t xml:space="preserve"> Language</w:t>
      </w:r>
      <w:r w:rsidR="007D7E38">
        <w:t>,</w:t>
      </w:r>
      <w:r w:rsidRPr="00630C48">
        <w:t xml:space="preserve"> 79(1)</w:t>
      </w:r>
      <w:r w:rsidR="007D7E38">
        <w:t>, pp.</w:t>
      </w:r>
      <w:r w:rsidRPr="00630C48">
        <w:t xml:space="preserve"> 39-81.</w:t>
      </w:r>
    </w:p>
    <w:p w14:paraId="1933EA41" w14:textId="77777777" w:rsidR="00630C48" w:rsidRDefault="00630C48">
      <w:pPr>
        <w:pStyle w:val="Literaturverzeichnis1"/>
        <w:ind w:left="397" w:hanging="397"/>
      </w:pPr>
    </w:p>
    <w:p w14:paraId="672B8081" w14:textId="08EC58F6" w:rsidR="00AB181E" w:rsidRDefault="00224AA6" w:rsidP="0071014A">
      <w:pPr>
        <w:pStyle w:val="Heading1"/>
      </w:pPr>
      <w:r>
        <w:t>Contact information</w:t>
      </w:r>
    </w:p>
    <w:p w14:paraId="0AEDCC61" w14:textId="4361192B" w:rsidR="00AB181E" w:rsidRDefault="0071014A">
      <w:r>
        <w:rPr>
          <w:rStyle w:val="Strong"/>
        </w:rPr>
        <w:t>Faye</w:t>
      </w:r>
      <w:r w:rsidR="00224AA6">
        <w:rPr>
          <w:rStyle w:val="Strong"/>
        </w:rPr>
        <w:t xml:space="preserve"> </w:t>
      </w:r>
      <w:r>
        <w:rPr>
          <w:rStyle w:val="Strong"/>
        </w:rPr>
        <w:t>Troughton</w:t>
      </w:r>
    </w:p>
    <w:p w14:paraId="5FC64DD9" w14:textId="15F7D31B" w:rsidR="00AB181E" w:rsidRDefault="0071014A">
      <w:r>
        <w:t>TELL centre for resea</w:t>
      </w:r>
      <w:r w:rsidR="005662D8">
        <w:t>r</w:t>
      </w:r>
      <w:r>
        <w:t>ch (</w:t>
      </w:r>
      <w:r w:rsidR="005662D8">
        <w:t>Translation</w:t>
      </w:r>
      <w:r>
        <w:t xml:space="preserve">, </w:t>
      </w:r>
      <w:r w:rsidR="005662D8">
        <w:t>Education</w:t>
      </w:r>
      <w:r>
        <w:t xml:space="preserve">, </w:t>
      </w:r>
      <w:r w:rsidR="005662D8">
        <w:t>Language</w:t>
      </w:r>
      <w:r>
        <w:t xml:space="preserve"> </w:t>
      </w:r>
      <w:r w:rsidR="005662D8">
        <w:t>and</w:t>
      </w:r>
      <w:r>
        <w:t xml:space="preserve"> </w:t>
      </w:r>
      <w:r w:rsidR="005662D8">
        <w:t>Literature</w:t>
      </w:r>
      <w:r>
        <w:t>)</w:t>
      </w:r>
    </w:p>
    <w:p w14:paraId="316B2B93" w14:textId="63D10186" w:rsidR="0071014A" w:rsidRDefault="0071014A">
      <w:r>
        <w:t>University of Mons</w:t>
      </w:r>
    </w:p>
    <w:p w14:paraId="7EF781C5" w14:textId="4572FBF8" w:rsidR="00AB181E" w:rsidRDefault="00D076DE" w:rsidP="00386DF3">
      <w:hyperlink r:id="rId9">
        <w:r w:rsidR="0071014A">
          <w:rPr>
            <w:rStyle w:val="Hyperlink"/>
          </w:rPr>
          <w:t>faye.troughton@umons.ac.be</w:t>
        </w:r>
      </w:hyperlink>
    </w:p>
    <w:sectPr w:rsidR="00AB181E">
      <w:footerReference w:type="default" r:id="rId10"/>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CAD5B" w14:textId="77777777" w:rsidR="00D076DE" w:rsidRDefault="00D076DE">
      <w:pPr>
        <w:spacing w:before="0" w:line="240" w:lineRule="auto"/>
      </w:pPr>
      <w:r>
        <w:separator/>
      </w:r>
    </w:p>
  </w:endnote>
  <w:endnote w:type="continuationSeparator" w:id="0">
    <w:p w14:paraId="75B8E5B7" w14:textId="77777777" w:rsidR="00D076DE" w:rsidRDefault="00D076D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embedRegular r:id="rId1" w:fontKey="{274E33D9-CA55-054B-B863-213AE4EF4C8E}"/>
    <w:embedBold r:id="rId2" w:fontKey="{8BE915AA-EA7B-4E45-BDB5-E17D9517C22E}"/>
    <w:embedItalic r:id="rId3" w:fontKey="{CDFF461E-A041-0944-BAC0-ADE355C64C9B}"/>
    <w:embedBoldItalic r:id="rId4" w:fontKey="{B582D906-6237-FD44-9FB3-748A0B301C02}"/>
  </w:font>
  <w:font w:name="Calibri">
    <w:panose1 w:val="020F0502020204030204"/>
    <w:charset w:val="00"/>
    <w:family w:val="swiss"/>
    <w:pitch w:val="variable"/>
    <w:sig w:usb0="E4002EFF" w:usb1="C000247B" w:usb2="00000009" w:usb3="00000000" w:csb0="000001FF" w:csb1="00000000"/>
    <w:embedRegular r:id="rId5" w:fontKey="{530B1A30-1BDD-F247-838B-7C03FE00F3E8}"/>
    <w:embedBold r:id="rId6" w:fontKey="{B6037508-FFE1-BB45-9E31-1ED83B003940}"/>
    <w:embedItalic r:id="rId7" w:fontKey="{189A3655-12E9-354C-9819-CCB1D61556A9}"/>
  </w:font>
  <w:font w:name="Tahoma">
    <w:panose1 w:val="020B0604030504040204"/>
    <w:charset w:val="00"/>
    <w:family w:val="swiss"/>
    <w:pitch w:val="variable"/>
    <w:sig w:usb0="E1002EFF" w:usb1="C000605B" w:usb2="00000029" w:usb3="00000000" w:csb0="000101FF" w:csb1="00000000"/>
    <w:embedRegular r:id="rId8" w:fontKey="{823D6118-2B15-1E4D-8D2A-4F486124B6DA}"/>
    <w:embedBold r:id="rId9" w:fontKey="{37F3DB38-5681-1345-9329-CF2BB3327871}"/>
    <w:embedItalic r:id="rId10" w:fontKey="{ED510948-E565-624F-BE53-2FF7708F629F}"/>
  </w:font>
  <w:font w:name="Libertinus Serif">
    <w:altName w:val="Calibri"/>
    <w:panose1 w:val="020B0604020202020204"/>
    <w:charset w:val="00"/>
    <w:family w:val="modern"/>
    <w:notTrueType/>
    <w:pitch w:val="variable"/>
    <w:sig w:usb0="E0000AFF" w:usb1="0200E5FB" w:usb2="01000020" w:usb3="00000000" w:csb0="000001BF" w:csb1="00000000"/>
  </w:font>
  <w:font w:name="Fira Sans">
    <w:panose1 w:val="020B0503050000020004"/>
    <w:charset w:val="00"/>
    <w:family w:val="swiss"/>
    <w:pitch w:val="variable"/>
    <w:sig w:usb0="600002FF" w:usb1="00000001" w:usb2="00000000" w:usb3="00000000" w:csb0="0000019F" w:csb1="00000000"/>
    <w:embedRegular r:id="rId15" w:fontKey="{2030D8AE-BC7F-0C42-98C8-0FE696FA8FC8}"/>
    <w:embedBold r:id="rId16" w:fontKey="{58375066-CB0C-EB43-B208-9243C737B837}"/>
  </w:font>
  <w:font w:name="OpenSymbol">
    <w:altName w:val="Arial Unicode MS"/>
    <w:charset w:val="00"/>
    <w:family w:val="auto"/>
    <w:pitch w:val="variable"/>
    <w:sig w:usb0="800000AF" w:usb1="1001ECEA" w:usb2="00000000" w:usb3="00000000" w:csb0="80000001" w:csb1="00000000"/>
    <w:embedRegular r:id="rId17" w:fontKey="{81100CC0-D812-A94E-A459-AD9CF55023AB}"/>
  </w:font>
  <w:font w:name="Liberation Sans">
    <w:altName w:val="Arial"/>
    <w:charset w:val="00"/>
    <w:family w:val="swiss"/>
    <w:pitch w:val="variable"/>
    <w:sig w:usb0="E0000AFF" w:usb1="500078FF" w:usb2="00000021" w:usb3="00000000" w:csb0="000001BF" w:csb1="00000000"/>
    <w:embedBold r:id="rId18" w:fontKey="{C7A623B5-B315-2244-A39C-7801E3DD2318}"/>
  </w:font>
  <w:font w:name="Noto Sans CJK SC">
    <w:panose1 w:val="020B0604020202020204"/>
    <w:charset w:val="00"/>
    <w:family w:val="roman"/>
    <w:notTrueType/>
    <w:pitch w:val="default"/>
  </w:font>
  <w:font w:name="Droid Sans Devanagari">
    <w:altName w:val="Times New Roman"/>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23" w:fontKey="{66E0CFB0-6D4E-224D-ABC0-E38635402F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0AFEF" w14:textId="77777777" w:rsidR="00AB181E" w:rsidRDefault="00224AA6" w:rsidP="00694682">
    <w:pPr>
      <w:pStyle w:val="Footer"/>
      <w:jc w:val="right"/>
    </w:pPr>
    <w:r>
      <w:rPr>
        <w:rStyle w:val="PageNumber"/>
        <w:rFonts w:cs="Libertinus Serif"/>
      </w:rPr>
      <w:fldChar w:fldCharType="begin"/>
    </w:r>
    <w:r>
      <w:rPr>
        <w:rStyle w:val="PageNumber"/>
        <w:rFonts w:cs="Libertinus Serif"/>
      </w:rPr>
      <w:instrText xml:space="preserve"> PAGE </w:instrText>
    </w:r>
    <w:r>
      <w:rPr>
        <w:rStyle w:val="PageNumber"/>
        <w:rFonts w:cs="Libertinus Serif"/>
      </w:rPr>
      <w:fldChar w:fldCharType="separate"/>
    </w:r>
    <w:r w:rsidR="004C5262">
      <w:rPr>
        <w:rStyle w:val="PageNumber"/>
        <w:rFonts w:cs="Libertinus Serif"/>
        <w:noProof/>
      </w:rPr>
      <w:t>3</w:t>
    </w:r>
    <w:r>
      <w:rPr>
        <w:rStyle w:val="PageNumber"/>
        <w:rFonts w:cs="Libertinus Serif"/>
      </w:rPr>
      <w:fldChar w:fldCharType="end"/>
    </w:r>
  </w:p>
  <w:p w14:paraId="76BA12E0" w14:textId="77777777" w:rsidR="00AB181E" w:rsidRDefault="00AB181E">
    <w:pPr>
      <w:pStyle w:val="Footer"/>
    </w:pPr>
  </w:p>
  <w:p w14:paraId="5B731E46"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F8B74" w14:textId="77777777" w:rsidR="00D076DE" w:rsidRDefault="00D076DE">
      <w:pPr>
        <w:rPr>
          <w:sz w:val="12"/>
        </w:rPr>
      </w:pPr>
      <w:r>
        <w:separator/>
      </w:r>
    </w:p>
  </w:footnote>
  <w:footnote w:type="continuationSeparator" w:id="0">
    <w:p w14:paraId="14F7A6CF" w14:textId="77777777" w:rsidR="00D076DE" w:rsidRDefault="00D076DE">
      <w:pPr>
        <w:rPr>
          <w:sz w:val="12"/>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F9886914"/>
    <w:lvl w:ilvl="0">
      <w:start w:val="1"/>
      <w:numFmt w:val="decimal"/>
      <w:pStyle w:val="Example"/>
      <w:lvlText w:val="(%1)"/>
      <w:lvlJc w:val="left"/>
      <w:pPr>
        <w:tabs>
          <w:tab w:val="num" w:pos="-927"/>
        </w:tabs>
        <w:ind w:left="360" w:hanging="360"/>
      </w:pPr>
      <w:rPr>
        <w:i w:val="0"/>
        <w:iCs w:val="0"/>
      </w:r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abstractNumId w:val="0"/>
  </w:num>
  <w:num w:numId="2">
    <w:abstractNumId w:val="1"/>
  </w:num>
  <w:num w:numId="3">
    <w:abstractNumId w:val="2"/>
  </w:num>
  <w:num w:numId="4">
    <w:abstractNumId w:val="2"/>
  </w:num>
  <w:num w:numId="5">
    <w:abstractNumId w:val="2"/>
  </w:num>
  <w:num w:numId="6">
    <w:abstractNumId w:val="2"/>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embedTrueType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F11EC"/>
    <w:rsid w:val="00224AA6"/>
    <w:rsid w:val="00227F60"/>
    <w:rsid w:val="00386DF3"/>
    <w:rsid w:val="004C5262"/>
    <w:rsid w:val="00546C16"/>
    <w:rsid w:val="005662D8"/>
    <w:rsid w:val="005C7C0F"/>
    <w:rsid w:val="00630C48"/>
    <w:rsid w:val="00694682"/>
    <w:rsid w:val="006F3EE0"/>
    <w:rsid w:val="0071014A"/>
    <w:rsid w:val="00717483"/>
    <w:rsid w:val="007D7E38"/>
    <w:rsid w:val="009D4AD9"/>
    <w:rsid w:val="00A54BA3"/>
    <w:rsid w:val="00A74120"/>
    <w:rsid w:val="00AB181E"/>
    <w:rsid w:val="00B22F8E"/>
    <w:rsid w:val="00C425D1"/>
    <w:rsid w:val="00CB29CB"/>
    <w:rsid w:val="00D076DE"/>
    <w:rsid w:val="00D57E2D"/>
    <w:rsid w:val="00DB1137"/>
    <w:rsid w:val="00EF352C"/>
    <w:rsid w:val="00F370A0"/>
    <w:rsid w:val="00F47A0D"/>
    <w:rsid w:val="00F75489"/>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E422A"/>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val="0"/>
      <w:spacing w:before="113" w:line="280" w:lineRule="exact"/>
      <w:jc w:val="both"/>
    </w:pPr>
    <w:rPr>
      <w:rFonts w:ascii="Libertinus Serif" w:hAnsi="Libertinus Serif"/>
    </w:rPr>
  </w:style>
  <w:style w:type="paragraph" w:styleId="Heading1">
    <w:name w:val="heading 1"/>
    <w:basedOn w:val="Normal"/>
    <w:next w:val="Normal"/>
    <w:link w:val="Heading1Char"/>
    <w:qFormat/>
    <w:pPr>
      <w:keepNext/>
      <w:keepLines/>
      <w:spacing w:before="340" w:after="113" w:line="360" w:lineRule="exact"/>
      <w:outlineLvl w:val="0"/>
    </w:pPr>
    <w:rPr>
      <w:rFonts w:ascii="Fira Sans" w:hAnsi="Fira Sans"/>
      <w:b/>
      <w:color w:val="4FAF4A"/>
      <w:sz w:val="28"/>
      <w:szCs w:val="32"/>
    </w:rPr>
  </w:style>
  <w:style w:type="paragraph" w:styleId="Heading2">
    <w:name w:val="heading 2"/>
    <w:basedOn w:val="Normal"/>
    <w:next w:val="Normal"/>
    <w:link w:val="Heading2Char"/>
    <w:qFormat/>
    <w:pPr>
      <w:keepNext/>
      <w:keepLines/>
      <w:spacing w:before="340" w:after="113" w:line="340" w:lineRule="exact"/>
      <w:outlineLvl w:val="1"/>
    </w:pPr>
    <w:rPr>
      <w:rFonts w:ascii="Fira Sans" w:hAnsi="Fira Sans"/>
      <w:b/>
      <w:color w:val="4FAF4A"/>
      <w:sz w:val="26"/>
      <w:szCs w:val="26"/>
    </w:rPr>
  </w:style>
  <w:style w:type="paragraph" w:styleId="Heading3">
    <w:name w:val="heading 3"/>
    <w:basedOn w:val="Normal"/>
    <w:next w:val="Normal"/>
    <w:link w:val="Heading3Char"/>
    <w:qFormat/>
    <w:pPr>
      <w:keepNext/>
      <w:keepLines/>
      <w:spacing w:before="227" w:after="113" w:line="320" w:lineRule="exact"/>
      <w:outlineLvl w:val="2"/>
    </w:pPr>
    <w:rPr>
      <w:rFonts w:ascii="Fira Sans" w:hAnsi="Fira Sans"/>
      <w:color w:val="4FAF4A"/>
      <w:sz w:val="24"/>
      <w:szCs w:val="24"/>
    </w:rPr>
  </w:style>
  <w:style w:type="paragraph" w:styleId="Heading4">
    <w:name w:val="heading 4"/>
    <w:basedOn w:val="Normal"/>
    <w:next w:val="Normal"/>
    <w:link w:val="Heading4Char"/>
    <w:qFormat/>
    <w:pPr>
      <w:keepNext/>
      <w:keepLines/>
      <w:spacing w:before="227"/>
      <w:outlineLvl w:val="3"/>
    </w:pPr>
    <w:rPr>
      <w:rFonts w:ascii="Fira Sans" w:hAnsi="Fira Sans"/>
      <w:iCs/>
      <w:color w:val="4FAF4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Pr>
      <w:rFonts w:ascii="Fira Sans" w:eastAsia="Calibri" w:hAnsi="Fira Sans" w:cs="Tahoma"/>
      <w:b/>
      <w:color w:val="F79646"/>
      <w:sz w:val="28"/>
      <w:szCs w:val="32"/>
    </w:rPr>
  </w:style>
  <w:style w:type="character" w:customStyle="1" w:styleId="Heading2Char">
    <w:name w:val="Heading 2 Char"/>
    <w:basedOn w:val="DefaultParagraphFont"/>
    <w:link w:val="Heading2"/>
    <w:qFormat/>
    <w:rPr>
      <w:rFonts w:ascii="Fira Sans" w:eastAsia="Calibri" w:hAnsi="Fira Sans" w:cs="Tahoma"/>
      <w:b/>
      <w:color w:val="F79646"/>
      <w:sz w:val="26"/>
      <w:szCs w:val="26"/>
    </w:rPr>
  </w:style>
  <w:style w:type="character" w:customStyle="1" w:styleId="Heading3Char">
    <w:name w:val="Heading 3 Char"/>
    <w:basedOn w:val="DefaultParagraphFont"/>
    <w:link w:val="Heading3"/>
    <w:qFormat/>
    <w:rPr>
      <w:rFonts w:ascii="Fira Sans" w:eastAsia="Calibri" w:hAnsi="Fira Sans" w:cs="Tahoma"/>
      <w:color w:val="F79646"/>
      <w:sz w:val="24"/>
      <w:szCs w:val="24"/>
    </w:rPr>
  </w:style>
  <w:style w:type="character" w:customStyle="1" w:styleId="Heading4Char">
    <w:name w:val="Heading 4 Char"/>
    <w:basedOn w:val="DefaultParagraphFont"/>
    <w:link w:val="Heading4"/>
    <w:qFormat/>
    <w:rPr>
      <w:rFonts w:ascii="Fira Sans" w:eastAsia="Calibri" w:hAnsi="Fira Sans" w:cs="Tahoma"/>
      <w:iCs/>
      <w:color w:val="F79646"/>
    </w:rPr>
  </w:style>
  <w:style w:type="character" w:customStyle="1" w:styleId="TitleChar">
    <w:name w:val="Title Char"/>
    <w:basedOn w:val="DefaultParagraphFont"/>
    <w:link w:val="Title"/>
    <w:qFormat/>
    <w:rsid w:val="00227F60"/>
    <w:rPr>
      <w:rFonts w:ascii="Fira Sans" w:hAnsi="Fira Sans"/>
      <w:b/>
      <w:color w:val="4FAF4A"/>
      <w:sz w:val="38"/>
      <w:szCs w:val="56"/>
    </w:rPr>
  </w:style>
  <w:style w:type="character" w:styleId="Strong">
    <w:name w:val="Strong"/>
    <w:basedOn w:val="DefaultParagraphFont"/>
    <w:qFormat/>
    <w:rPr>
      <w:b/>
      <w:bCs/>
    </w:rPr>
  </w:style>
  <w:style w:type="character" w:styleId="Emphasis">
    <w:name w:val="Emphasis"/>
    <w:basedOn w:val="DefaultParagraphFont"/>
    <w:qFormat/>
    <w:rPr>
      <w:i/>
      <w:iCs/>
    </w:rPr>
  </w:style>
  <w:style w:type="character" w:styleId="IntenseEmphasis">
    <w:name w:val="Intense Emphasis"/>
    <w:basedOn w:val="DefaultParagraphFont"/>
    <w:qFormat/>
    <w:rPr>
      <w:rFonts w:ascii="Libertinus Serif" w:hAnsi="Libertinus Serif"/>
      <w:b/>
      <w:bCs/>
      <w:i/>
      <w:iCs/>
      <w:color w:val="auto"/>
    </w:rPr>
  </w:style>
  <w:style w:type="character" w:customStyle="1" w:styleId="QuoteChar">
    <w:name w:val="Quote Char"/>
    <w:basedOn w:val="DefaultParagraphFont"/>
    <w:link w:val="Quote"/>
    <w:qFormat/>
    <w:rPr>
      <w:rFonts w:ascii="Libertinus Serif" w:hAnsi="Libertinus Serif"/>
      <w:iCs/>
      <w:sz w:val="20"/>
    </w:rPr>
  </w:style>
  <w:style w:type="character" w:customStyle="1" w:styleId="SubtitleChar">
    <w:name w:val="Subtitle Char"/>
    <w:basedOn w:val="DefaultParagraphFont"/>
    <w:link w:val="Subtitle"/>
    <w:qFormat/>
    <w:rsid w:val="004C5262"/>
    <w:rPr>
      <w:rFonts w:ascii="Fira Sans" w:hAnsi="Fira Sans"/>
      <w:b/>
      <w:color w:val="5A5A5A"/>
      <w:spacing w:val="16"/>
      <w:sz w:val="28"/>
    </w:rPr>
  </w:style>
  <w:style w:type="character" w:customStyle="1" w:styleId="HeaderChar">
    <w:name w:val="Header Char"/>
    <w:basedOn w:val="DefaultParagraphFont"/>
    <w:link w:val="Header"/>
    <w:qFormat/>
    <w:rPr>
      <w:rFonts w:ascii="Times New Roman" w:hAnsi="Times New Roman"/>
      <w:sz w:val="24"/>
    </w:rPr>
  </w:style>
  <w:style w:type="character" w:customStyle="1" w:styleId="FooterChar">
    <w:name w:val="Footer Char"/>
    <w:basedOn w:val="DefaultParagraphFont"/>
    <w:link w:val="Footer"/>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DefaultParagraphFont"/>
    <w:rPr>
      <w:color w:val="000080"/>
      <w:w w:val="100"/>
      <w:u w:val="thick" w:color="000080"/>
    </w:rPr>
  </w:style>
  <w:style w:type="character" w:styleId="PageNumber">
    <w:name w:val="page number"/>
    <w:basedOn w:val="DefaultParagraphFont"/>
    <w:qFormat/>
  </w:style>
  <w:style w:type="character" w:customStyle="1" w:styleId="FootnoteTextChar">
    <w:name w:val="Footnote Text Char"/>
    <w:basedOn w:val="DefaultParagraphFont"/>
    <w:link w:val="FootnoteText"/>
    <w:qFormat/>
    <w:rPr>
      <w:rFonts w:ascii="Times New Roman" w:hAnsi="Times New Roman"/>
      <w:sz w:val="20"/>
      <w:szCs w:val="20"/>
    </w:rPr>
  </w:style>
  <w:style w:type="character" w:customStyle="1" w:styleId="IntenseQuoteChar">
    <w:name w:val="Intense Quote Char"/>
    <w:basedOn w:val="DefaultParagraphFont"/>
    <w:link w:val="IntenseQuote"/>
    <w:qFormat/>
    <w:rPr>
      <w:rFonts w:ascii="Libertinus Serif" w:hAnsi="Libertinus Serif"/>
      <w:bCs/>
      <w:sz w:val="20"/>
    </w:rPr>
  </w:style>
  <w:style w:type="character" w:customStyle="1" w:styleId="KapitlchenSmallCapital">
    <w:name w:val="Kapitälchen/Small Capital"/>
    <w:basedOn w:val="DefaultParagraphFont"/>
    <w:qFormat/>
    <w:rPr>
      <w:smallCaps/>
    </w:rPr>
  </w:style>
  <w:style w:type="character" w:customStyle="1" w:styleId="Aufzhlungszeichen1">
    <w:name w:val="Aufzählungszeichen1"/>
    <w:qFormat/>
    <w:rPr>
      <w:rFonts w:ascii="OpenSymbol" w:eastAsia="OpenSymbol" w:hAnsi="OpenSymbol" w:cs="OpenSymbol"/>
    </w:rPr>
  </w:style>
  <w:style w:type="character" w:styleId="FootnoteReference">
    <w:name w:val="footnote reference"/>
    <w:rPr>
      <w:vertAlign w:val="superscript"/>
    </w:rPr>
  </w:style>
  <w:style w:type="character" w:styleId="EndnoteReference">
    <w:name w:val="endnote reference"/>
    <w:rPr>
      <w:vertAlign w:val="superscript"/>
    </w:rPr>
  </w:style>
  <w:style w:type="character" w:customStyle="1" w:styleId="BalloonTextChar">
    <w:name w:val="Balloon Text Char"/>
    <w:basedOn w:val="DefaultParagraphFont"/>
    <w:link w:val="BalloonText"/>
    <w:qFormat/>
    <w:rPr>
      <w:rFonts w:ascii="Tahoma" w:hAnsi="Tahoma" w:cs="Tahoma"/>
      <w:sz w:val="16"/>
      <w:szCs w:val="16"/>
    </w:rPr>
  </w:style>
  <w:style w:type="paragraph" w:customStyle="1" w:styleId="berschrift">
    <w:name w:val="Überschrift"/>
    <w:basedOn w:val="Heading1"/>
    <w:next w:val="BodyText"/>
    <w:qFormat/>
    <w:pPr>
      <w:spacing w:before="240" w:after="120"/>
    </w:pPr>
    <w:rPr>
      <w:rFonts w:ascii="Liberation Sans" w:eastAsia="Noto Sans CJK SC" w:hAnsi="Liberation Sans" w:cs="Droid Sans Devanagari"/>
      <w:szCs w:val="28"/>
    </w:rPr>
  </w:style>
  <w:style w:type="paragraph" w:styleId="BodyText">
    <w:name w:val="Body Text"/>
    <w:basedOn w:val="Normal"/>
    <w:pPr>
      <w:spacing w:before="0" w:after="140" w:line="276" w:lineRule="auto"/>
    </w:pPr>
  </w:style>
  <w:style w:type="paragraph" w:styleId="List">
    <w:name w:val="List"/>
    <w:basedOn w:val="BodyText"/>
    <w:rPr>
      <w:rFonts w:cs="Droid Sans Devanagari"/>
    </w:rPr>
  </w:style>
  <w:style w:type="paragraph" w:styleId="Caption">
    <w:name w:val="caption"/>
    <w:basedOn w:val="Normal"/>
    <w:qFormat/>
    <w:pPr>
      <w:suppressLineNumbers/>
      <w:spacing w:after="227" w:line="232" w:lineRule="exact"/>
    </w:pPr>
    <w:rPr>
      <w:rFonts w:cs="Droid Sans Devanagari"/>
      <w:iCs/>
      <w:sz w:val="19"/>
      <w:szCs w:val="24"/>
    </w:rPr>
  </w:style>
  <w:style w:type="paragraph" w:customStyle="1" w:styleId="Verzeichnis">
    <w:name w:val="Verzeichnis"/>
    <w:basedOn w:val="Normal"/>
    <w:qFormat/>
    <w:pPr>
      <w:suppressLineNumbers/>
    </w:pPr>
    <w:rPr>
      <w:rFonts w:cs="Droid Sans Devanagari"/>
    </w:rPr>
  </w:style>
  <w:style w:type="paragraph" w:styleId="Title">
    <w:name w:val="Title"/>
    <w:basedOn w:val="Normal"/>
    <w:next w:val="Normal"/>
    <w:link w:val="TitleChar"/>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Quote">
    <w:name w:val="Quote"/>
    <w:basedOn w:val="Normal"/>
    <w:next w:val="Normal"/>
    <w:link w:val="QuoteChar"/>
    <w:qFormat/>
    <w:pPr>
      <w:spacing w:line="250" w:lineRule="exact"/>
      <w:ind w:left="794" w:right="794"/>
    </w:pPr>
    <w:rPr>
      <w:iCs/>
      <w:sz w:val="20"/>
    </w:rPr>
  </w:style>
  <w:style w:type="paragraph" w:styleId="Subtitle">
    <w:name w:val="Subtitle"/>
    <w:basedOn w:val="Normal"/>
    <w:next w:val="Normal"/>
    <w:link w:val="SubtitleChar"/>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le"/>
    <w:qFormat/>
    <w:pPr>
      <w:spacing w:before="0" w:line="340" w:lineRule="exact"/>
    </w:pPr>
    <w:rPr>
      <w:b w:val="0"/>
      <w:color w:val="auto"/>
      <w:sz w:val="26"/>
    </w:rPr>
  </w:style>
  <w:style w:type="paragraph" w:styleId="ListParagraph">
    <w:name w:val="List Paragraph"/>
    <w:basedOn w:val="Normal"/>
    <w:qFormat/>
    <w:pPr>
      <w:tabs>
        <w:tab w:val="left" w:pos="0"/>
      </w:tabs>
      <w:ind w:left="284" w:hanging="284"/>
      <w:contextualSpacing/>
    </w:pPr>
  </w:style>
  <w:style w:type="paragraph" w:customStyle="1" w:styleId="Example">
    <w:name w:val="Example"/>
    <w:basedOn w:val="Normal"/>
    <w:qFormat/>
    <w:rsid w:val="00A54BA3"/>
    <w:pPr>
      <w:numPr>
        <w:numId w:val="3"/>
      </w:numPr>
      <w:tabs>
        <w:tab w:val="clear" w:pos="-927"/>
        <w:tab w:val="num" w:pos="0"/>
      </w:tabs>
      <w:spacing w:before="57" w:after="57" w:line="240" w:lineRule="exact"/>
      <w:ind w:left="1287"/>
    </w:pPr>
    <w:rPr>
      <w:sz w:val="20"/>
    </w:rPr>
  </w:style>
  <w:style w:type="paragraph" w:customStyle="1" w:styleId="Kopf-undFuzeile">
    <w:name w:val="Kopf- und Fußzeile"/>
    <w:basedOn w:val="Normal"/>
    <w:qFormat/>
  </w:style>
  <w:style w:type="paragraph" w:styleId="Header">
    <w:name w:val="header"/>
    <w:basedOn w:val="Normal"/>
    <w:link w:val="HeaderChar"/>
    <w:pPr>
      <w:tabs>
        <w:tab w:val="center" w:pos="4536"/>
        <w:tab w:val="right" w:pos="9072"/>
      </w:tabs>
      <w:spacing w:before="0" w:line="240" w:lineRule="auto"/>
    </w:pPr>
  </w:style>
  <w:style w:type="paragraph" w:styleId="Footer">
    <w:name w:val="footer"/>
    <w:basedOn w:val="Normal"/>
    <w:link w:val="FooterChar"/>
    <w:pPr>
      <w:tabs>
        <w:tab w:val="center" w:pos="4536"/>
        <w:tab w:val="right" w:pos="9072"/>
      </w:tabs>
      <w:spacing w:before="0" w:line="240" w:lineRule="auto"/>
    </w:pPr>
  </w:style>
  <w:style w:type="paragraph" w:customStyle="1" w:styleId="FunoteFootnote">
    <w:name w:val="Fußnote/Footnote"/>
    <w:basedOn w:val="FootnoteText"/>
    <w:qFormat/>
    <w:pPr>
      <w:tabs>
        <w:tab w:val="left" w:pos="283"/>
      </w:tabs>
      <w:spacing w:line="230" w:lineRule="atLeast"/>
      <w:ind w:left="284" w:hanging="284"/>
      <w:textAlignment w:val="center"/>
    </w:pPr>
    <w:rPr>
      <w:rFonts w:cs="Times New Roman"/>
    </w:rPr>
  </w:style>
  <w:style w:type="paragraph" w:styleId="FootnoteText">
    <w:name w:val="footnote text"/>
    <w:basedOn w:val="Normal"/>
    <w:link w:val="FootnoteTextChar"/>
    <w:pPr>
      <w:spacing w:before="0" w:line="232" w:lineRule="exact"/>
      <w:ind w:left="283" w:hanging="283"/>
    </w:pPr>
    <w:rPr>
      <w:sz w:val="19"/>
      <w:szCs w:val="20"/>
    </w:rPr>
  </w:style>
  <w:style w:type="paragraph" w:customStyle="1" w:styleId="Keywords">
    <w:name w:val="Keywords"/>
    <w:basedOn w:val="Normal"/>
    <w:qFormat/>
    <w:rPr>
      <w:sz w:val="20"/>
    </w:rPr>
  </w:style>
  <w:style w:type="paragraph" w:styleId="IntenseQuote">
    <w:name w:val="Intense Quote"/>
    <w:basedOn w:val="Quote"/>
    <w:next w:val="Normal"/>
    <w:link w:val="IntenseQuoteChar"/>
    <w:qFormat/>
    <w:rPr>
      <w:bCs/>
      <w:iCs w:val="0"/>
    </w:rPr>
  </w:style>
  <w:style w:type="paragraph" w:customStyle="1" w:styleId="ReferenceEntry">
    <w:name w:val="Reference Entry"/>
    <w:basedOn w:val="Normal"/>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BodyText"/>
    <w:qFormat/>
    <w:pPr>
      <w:spacing w:after="0"/>
      <w:ind w:left="283" w:hanging="283"/>
    </w:pPr>
  </w:style>
  <w:style w:type="paragraph" w:customStyle="1" w:styleId="Tabelleninhalt">
    <w:name w:val="Tabelleninhalt"/>
    <w:basedOn w:val="Normal"/>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Heading">
    <w:name w:val="index heading"/>
    <w:basedOn w:val="Heading1"/>
    <w:autoRedefine/>
  </w:style>
  <w:style w:type="paragraph" w:styleId="TableofAuthorities">
    <w:name w:val="table of authorities"/>
    <w:basedOn w:val="Heading1"/>
    <w:autoRedefine/>
    <w:pPr>
      <w:suppressLineNumbers/>
    </w:pPr>
  </w:style>
  <w:style w:type="paragraph" w:styleId="Closing">
    <w:name w:val="Closing"/>
    <w:basedOn w:val="berschrift"/>
    <w:next w:val="BodyText"/>
    <w:qFormat/>
    <w:pPr>
      <w:jc w:val="center"/>
    </w:pPr>
    <w:rPr>
      <w:bCs/>
      <w:szCs w:val="32"/>
    </w:rPr>
  </w:style>
  <w:style w:type="paragraph" w:styleId="TOCHeading">
    <w:name w:val="TOC Heading"/>
    <w:basedOn w:val="IndexHeading"/>
  </w:style>
  <w:style w:type="paragraph" w:customStyle="1" w:styleId="Abbildungsindexberschriften">
    <w:name w:val="Abbildungsindex Überschriften"/>
    <w:basedOn w:val="IndexHeading"/>
    <w:qFormat/>
  </w:style>
  <w:style w:type="paragraph" w:customStyle="1" w:styleId="OLtext">
    <w:name w:val="OL text"/>
    <w:basedOn w:val="Normal"/>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BalloonText">
    <w:name w:val="Balloon Text"/>
    <w:basedOn w:val="Normal"/>
    <w:link w:val="BalloonTextChar"/>
    <w:qFormat/>
    <w:pPr>
      <w:spacing w:before="0" w:line="240" w:lineRule="auto"/>
    </w:pPr>
    <w:rPr>
      <w:rFonts w:ascii="Tahoma" w:hAnsi="Tahoma"/>
      <w:sz w:val="16"/>
      <w:szCs w:val="16"/>
    </w:rPr>
  </w:style>
  <w:style w:type="character" w:styleId="FollowedHyperlink">
    <w:name w:val="FollowedHyperlink"/>
    <w:basedOn w:val="DefaultParagraphFont"/>
    <w:uiPriority w:val="99"/>
    <w:semiHidden/>
    <w:unhideWhenUsed/>
    <w:rsid w:val="0071014A"/>
    <w:rPr>
      <w:color w:val="954F72" w:themeColor="followedHyperlink"/>
      <w:u w:val="single"/>
    </w:rPr>
  </w:style>
  <w:style w:type="character" w:styleId="UnresolvedMention">
    <w:name w:val="Unresolved Mention"/>
    <w:basedOn w:val="DefaultParagraphFont"/>
    <w:uiPriority w:val="99"/>
    <w:semiHidden/>
    <w:unhideWhenUsed/>
    <w:rsid w:val="00D57E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0521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ordbanks.harpercollins.co.uk/release_notes/WordBanksOnline_English.html" TargetMode="External"/><Relationship Id="rId3" Type="http://schemas.openxmlformats.org/officeDocument/2006/relationships/settings" Target="settings.xml"/><Relationship Id="rId7" Type="http://schemas.openxmlformats.org/officeDocument/2006/relationships/hyperlink" Target="https://www.frantext.f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muster@ids-mannheim.d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2</Pages>
  <Words>873</Words>
  <Characters>5506</Characters>
  <Application>Microsoft Office Word</Application>
  <DocSecurity>0</DocSecurity>
  <Lines>85</Lines>
  <Paragraphs>37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6350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Faye TROUGHTON</cp:lastModifiedBy>
  <cp:revision>16</cp:revision>
  <cp:lastPrinted>2023-03-11T11:57:00Z</cp:lastPrinted>
  <dcterms:created xsi:type="dcterms:W3CDTF">2023-05-11T09:48:00Z</dcterms:created>
  <dcterms:modified xsi:type="dcterms:W3CDTF">2023-05-11T10:55:00Z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