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CEF12" w14:textId="6DB04A6D" w:rsidR="00AB181E" w:rsidRDefault="00364AF6">
      <w:pPr>
        <w:pStyle w:val="Author"/>
      </w:pPr>
      <w:r>
        <w:t>Renáta Panocová/Pius ten Hacken</w:t>
      </w:r>
    </w:p>
    <w:p w14:paraId="207C49F3" w14:textId="2B7F00C2" w:rsidR="00AB181E" w:rsidRDefault="00364AF6">
      <w:pPr>
        <w:pStyle w:val="Title"/>
      </w:pPr>
      <w:r w:rsidRPr="00C0166A">
        <w:rPr>
          <w:lang w:val="en-US"/>
        </w:rPr>
        <w:t xml:space="preserve">Frequency profiles as a tool for tracing </w:t>
      </w:r>
      <w:r w:rsidR="00A57CBA">
        <w:rPr>
          <w:lang w:val="en-US"/>
        </w:rPr>
        <w:br/>
      </w:r>
      <w:r w:rsidRPr="00C0166A">
        <w:rPr>
          <w:lang w:val="en-US"/>
        </w:rPr>
        <w:t xml:space="preserve">the interaction between borrowing </w:t>
      </w:r>
      <w:r w:rsidR="00A57CBA">
        <w:rPr>
          <w:lang w:val="en-US"/>
        </w:rPr>
        <w:br/>
      </w:r>
      <w:r w:rsidRPr="00C0166A">
        <w:rPr>
          <w:lang w:val="en-US"/>
        </w:rPr>
        <w:t>and word formation</w:t>
      </w:r>
    </w:p>
    <w:p w14:paraId="059AC04F" w14:textId="0026FCAE" w:rsidR="00AB181E" w:rsidRDefault="00224AA6">
      <w:pPr>
        <w:pStyle w:val="Keywords"/>
        <w:jc w:val="left"/>
      </w:pPr>
      <w:r>
        <w:rPr>
          <w:b/>
          <w:szCs w:val="20"/>
        </w:rPr>
        <w:t>Keywords:</w:t>
      </w:r>
      <w:r>
        <w:rPr>
          <w:szCs w:val="20"/>
        </w:rPr>
        <w:t xml:space="preserve"> </w:t>
      </w:r>
      <w:r w:rsidR="00364AF6">
        <w:rPr>
          <w:szCs w:val="20"/>
        </w:rPr>
        <w:t>derivational paradigm, nominalization, motivation</w:t>
      </w:r>
    </w:p>
    <w:p w14:paraId="01C06032" w14:textId="77777777" w:rsidR="00523E78" w:rsidRPr="00523E78" w:rsidRDefault="00523E78" w:rsidP="00A57CBA">
      <w:pPr>
        <w:spacing w:after="113"/>
        <w:rPr>
          <w:lang w:val="en-US"/>
        </w:rPr>
      </w:pPr>
      <w:r w:rsidRPr="00523E78">
        <w:rPr>
          <w:lang w:val="en-US"/>
        </w:rPr>
        <w:t xml:space="preserve">It is often difficult to determine whether complex words are the result of word formation or borrowing. In many European languages, there are complex words with a Latin or Greek origin, for which a borrowing from classical languages is not possible, because the words are not attested in the classical stages of these languages. Examples include formations in </w:t>
      </w:r>
      <w:r w:rsidRPr="00523E78">
        <w:rPr>
          <w:i/>
          <w:iCs/>
          <w:lang w:val="en-US"/>
        </w:rPr>
        <w:noBreakHyphen/>
        <w:t>ation</w:t>
      </w:r>
      <w:r w:rsidRPr="00523E78">
        <w:rPr>
          <w:lang w:val="en-US"/>
        </w:rPr>
        <w:t xml:space="preserve"> and its variants in several languages. These nouns are often analysed as the result of a word formation rule taking a corresponding verb as its input. In German, we find triples such as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450"/>
        <w:gridCol w:w="1530"/>
        <w:gridCol w:w="5549"/>
      </w:tblGrid>
      <w:tr w:rsidR="00523E78" w:rsidRPr="00523E78" w14:paraId="16B3DCDC" w14:textId="77777777" w:rsidTr="00523E78">
        <w:tc>
          <w:tcPr>
            <w:tcW w:w="625" w:type="dxa"/>
          </w:tcPr>
          <w:p w14:paraId="71F086D4" w14:textId="77777777" w:rsidR="00523E78" w:rsidRPr="00523E78" w:rsidRDefault="00523E78" w:rsidP="00523E78">
            <w:pPr>
              <w:spacing w:before="0"/>
              <w:rPr>
                <w:lang w:val="en-US"/>
              </w:rPr>
            </w:pPr>
            <w:r w:rsidRPr="00523E78">
              <w:rPr>
                <w:lang w:val="en-US"/>
              </w:rPr>
              <w:t>(1)</w:t>
            </w:r>
          </w:p>
        </w:tc>
        <w:tc>
          <w:tcPr>
            <w:tcW w:w="450" w:type="dxa"/>
          </w:tcPr>
          <w:p w14:paraId="337161E9" w14:textId="77777777" w:rsidR="00523E78" w:rsidRPr="00523E78" w:rsidRDefault="00523E78" w:rsidP="00523E78">
            <w:pPr>
              <w:spacing w:before="0"/>
              <w:rPr>
                <w:lang w:val="en-US"/>
              </w:rPr>
            </w:pPr>
            <w:r w:rsidRPr="00523E78">
              <w:rPr>
                <w:lang w:val="en-US"/>
              </w:rPr>
              <w:t>a.</w:t>
            </w:r>
          </w:p>
        </w:tc>
        <w:tc>
          <w:tcPr>
            <w:tcW w:w="1530" w:type="dxa"/>
          </w:tcPr>
          <w:p w14:paraId="1FC5FAE4" w14:textId="77777777" w:rsidR="00523E78" w:rsidRPr="00523E78" w:rsidRDefault="00523E78" w:rsidP="00523E78">
            <w:pPr>
              <w:spacing w:before="0"/>
              <w:rPr>
                <w:lang w:val="en-US"/>
              </w:rPr>
            </w:pPr>
            <w:r w:rsidRPr="00523E78">
              <w:rPr>
                <w:lang w:val="en-US"/>
              </w:rPr>
              <w:t>Lokalisation</w:t>
            </w:r>
          </w:p>
        </w:tc>
        <w:tc>
          <w:tcPr>
            <w:tcW w:w="5549" w:type="dxa"/>
          </w:tcPr>
          <w:p w14:paraId="0936CF1A" w14:textId="77777777" w:rsidR="00523E78" w:rsidRPr="00523E78" w:rsidRDefault="00523E78" w:rsidP="00523E78">
            <w:pPr>
              <w:spacing w:before="0"/>
              <w:rPr>
                <w:lang w:val="en-US"/>
              </w:rPr>
            </w:pPr>
            <w:r w:rsidRPr="00523E78">
              <w:rPr>
                <w:lang w:val="en-US"/>
              </w:rPr>
              <w:t>(‘localization’)</w:t>
            </w:r>
          </w:p>
        </w:tc>
      </w:tr>
      <w:tr w:rsidR="00523E78" w:rsidRPr="00523E78" w14:paraId="5C403659" w14:textId="77777777" w:rsidTr="00523E78">
        <w:tc>
          <w:tcPr>
            <w:tcW w:w="625" w:type="dxa"/>
          </w:tcPr>
          <w:p w14:paraId="0D2C912F" w14:textId="77777777" w:rsidR="00523E78" w:rsidRPr="00523E78" w:rsidRDefault="00523E78" w:rsidP="00523E78">
            <w:pPr>
              <w:spacing w:before="0"/>
              <w:rPr>
                <w:lang w:val="en-US"/>
              </w:rPr>
            </w:pPr>
          </w:p>
        </w:tc>
        <w:tc>
          <w:tcPr>
            <w:tcW w:w="450" w:type="dxa"/>
          </w:tcPr>
          <w:p w14:paraId="01CA6077" w14:textId="77777777" w:rsidR="00523E78" w:rsidRPr="00523E78" w:rsidRDefault="00523E78" w:rsidP="00523E78">
            <w:pPr>
              <w:spacing w:before="0"/>
              <w:rPr>
                <w:lang w:val="en-US"/>
              </w:rPr>
            </w:pPr>
            <w:r w:rsidRPr="00523E78">
              <w:rPr>
                <w:lang w:val="en-US"/>
              </w:rPr>
              <w:t>b.</w:t>
            </w:r>
          </w:p>
        </w:tc>
        <w:tc>
          <w:tcPr>
            <w:tcW w:w="1530" w:type="dxa"/>
          </w:tcPr>
          <w:p w14:paraId="4BE36509" w14:textId="77777777" w:rsidR="00523E78" w:rsidRPr="00523E78" w:rsidRDefault="00523E78" w:rsidP="00523E78">
            <w:pPr>
              <w:spacing w:before="0"/>
              <w:rPr>
                <w:lang w:val="en-US"/>
              </w:rPr>
            </w:pPr>
            <w:r w:rsidRPr="00523E78">
              <w:rPr>
                <w:lang w:val="en-US"/>
              </w:rPr>
              <w:t>lokalisieren</w:t>
            </w:r>
          </w:p>
        </w:tc>
        <w:tc>
          <w:tcPr>
            <w:tcW w:w="5549" w:type="dxa"/>
          </w:tcPr>
          <w:p w14:paraId="6DA7DFC3" w14:textId="77777777" w:rsidR="00523E78" w:rsidRPr="00523E78" w:rsidRDefault="00523E78" w:rsidP="00523E78">
            <w:pPr>
              <w:spacing w:before="0"/>
              <w:rPr>
                <w:lang w:val="en-US"/>
              </w:rPr>
            </w:pPr>
            <w:r w:rsidRPr="00523E78">
              <w:rPr>
                <w:lang w:val="en-US"/>
              </w:rPr>
              <w:t>(‘localize’)</w:t>
            </w:r>
          </w:p>
        </w:tc>
      </w:tr>
      <w:tr w:rsidR="00523E78" w:rsidRPr="00523E78" w14:paraId="13AD798B" w14:textId="77777777" w:rsidTr="00523E78">
        <w:tc>
          <w:tcPr>
            <w:tcW w:w="625" w:type="dxa"/>
          </w:tcPr>
          <w:p w14:paraId="2671CD93" w14:textId="77777777" w:rsidR="00523E78" w:rsidRPr="00523E78" w:rsidRDefault="00523E78" w:rsidP="00523E78">
            <w:pPr>
              <w:spacing w:before="0"/>
              <w:rPr>
                <w:lang w:val="en-US"/>
              </w:rPr>
            </w:pPr>
          </w:p>
        </w:tc>
        <w:tc>
          <w:tcPr>
            <w:tcW w:w="450" w:type="dxa"/>
          </w:tcPr>
          <w:p w14:paraId="76E840B0" w14:textId="77777777" w:rsidR="00523E78" w:rsidRPr="00523E78" w:rsidRDefault="00523E78" w:rsidP="00523E78">
            <w:pPr>
              <w:spacing w:before="0"/>
              <w:rPr>
                <w:lang w:val="en-US"/>
              </w:rPr>
            </w:pPr>
            <w:r w:rsidRPr="00523E78">
              <w:rPr>
                <w:lang w:val="en-US"/>
              </w:rPr>
              <w:t>c.</w:t>
            </w:r>
          </w:p>
        </w:tc>
        <w:tc>
          <w:tcPr>
            <w:tcW w:w="1530" w:type="dxa"/>
          </w:tcPr>
          <w:p w14:paraId="47069A4C" w14:textId="77777777" w:rsidR="00523E78" w:rsidRPr="00523E78" w:rsidRDefault="00523E78" w:rsidP="00523E78">
            <w:pPr>
              <w:spacing w:before="0"/>
              <w:rPr>
                <w:lang w:val="en-US"/>
              </w:rPr>
            </w:pPr>
            <w:r w:rsidRPr="00523E78">
              <w:rPr>
                <w:lang w:val="en-US"/>
              </w:rPr>
              <w:t>Lokalisierung</w:t>
            </w:r>
          </w:p>
        </w:tc>
        <w:tc>
          <w:tcPr>
            <w:tcW w:w="5549" w:type="dxa"/>
          </w:tcPr>
          <w:p w14:paraId="635A20E9" w14:textId="77777777" w:rsidR="00523E78" w:rsidRPr="00523E78" w:rsidRDefault="00523E78" w:rsidP="00523E78">
            <w:pPr>
              <w:spacing w:before="0"/>
              <w:rPr>
                <w:lang w:val="en-US"/>
              </w:rPr>
            </w:pPr>
            <w:r w:rsidRPr="00523E78">
              <w:rPr>
                <w:lang w:val="en-US"/>
              </w:rPr>
              <w:t>(‘localization’)</w:t>
            </w:r>
          </w:p>
        </w:tc>
      </w:tr>
    </w:tbl>
    <w:p w14:paraId="707F1225" w14:textId="77777777" w:rsidR="00523E78" w:rsidRPr="00523E78" w:rsidRDefault="00523E78" w:rsidP="00523E78">
      <w:r w:rsidRPr="00523E78">
        <w:t xml:space="preserve">For (1a), the question is whether it is a word formation result based on (1b) or a borrowing. For (1b), the verb can either have been borrowed or be a back formation based on (1a). In German, French is the main candidate as a source of borrowings of this type. In the case of verbs such as (1b), the ending </w:t>
      </w:r>
      <w:r w:rsidRPr="00523E78">
        <w:rPr>
          <w:i/>
        </w:rPr>
        <w:t>-ieren</w:t>
      </w:r>
      <w:r w:rsidRPr="00523E78">
        <w:t xml:space="preserve">, which serves as a condition for the nominalization in </w:t>
      </w:r>
      <w:r w:rsidRPr="00523E78">
        <w:rPr>
          <w:i/>
        </w:rPr>
        <w:t>-ation</w:t>
      </w:r>
      <w:r w:rsidRPr="00523E78">
        <w:t>, corresponds to the French infinitive. The noun (1c) is an unambiguous word formation result, derived from (1b).</w:t>
      </w:r>
    </w:p>
    <w:p w14:paraId="55E7FECA" w14:textId="42135C06" w:rsidR="00523E78" w:rsidRPr="00523E78" w:rsidRDefault="00EC443E" w:rsidP="00523E78">
      <w:r>
        <w:t>We propose f</w:t>
      </w:r>
      <w:r w:rsidR="00523E78" w:rsidRPr="00523E78">
        <w:t xml:space="preserve">requency profiles </w:t>
      </w:r>
      <w:r>
        <w:t>as</w:t>
      </w:r>
      <w:r w:rsidR="00523E78" w:rsidRPr="00523E78">
        <w:t xml:space="preserve"> a tool for determining the likelihood of the different scenarios in constellations such as (1). The question is not which words in a particular case were borrowed or resulted from word formation, but how this generalizes for a process. The difference between Baayen’s (1992) measures for productivity and our frequency profile is that productivity is a property of word formation processes (or affixes), whereas the frequency profile is a property of such triples as (1). With </w:t>
      </w:r>
      <w:r w:rsidR="00523E78" w:rsidRPr="00523E78">
        <w:rPr>
          <w:lang w:val="en-US"/>
        </w:rPr>
        <w:t>Furdík (1978, 2004), Mistrík (1985) and Ološtiak</w:t>
      </w:r>
      <w:r w:rsidR="00A57CBA">
        <w:rPr>
          <w:lang w:val="en-US"/>
        </w:rPr>
        <w:t>/</w:t>
      </w:r>
      <w:r w:rsidR="00523E78" w:rsidRPr="00523E78">
        <w:rPr>
          <w:lang w:val="en-US"/>
        </w:rPr>
        <w:t xml:space="preserve">Ivanová (2015) </w:t>
      </w:r>
      <w:r w:rsidR="00523E78" w:rsidRPr="00523E78">
        <w:t xml:space="preserve">we assume that the base word used in a word formation rule is usually more frequent than the derived word. By looking at large numbers of similar words, the outliers where this assumption does not hold will be outnumbered by the regular cases. The degree to which this effect takes place tells us something about the relative strength of the borrowing and the word formation hypotheses for a particular word formation constellation. In the case illustrated in (1), the questions are whether nouns in </w:t>
      </w:r>
      <w:r w:rsidR="00523E78" w:rsidRPr="00523E78">
        <w:rPr>
          <w:i/>
        </w:rPr>
        <w:t>-ation</w:t>
      </w:r>
      <w:r w:rsidR="00523E78" w:rsidRPr="00523E78">
        <w:t xml:space="preserve"> are rather formed from verbs or borrowed as nouns and whether verbs in </w:t>
      </w:r>
      <w:r w:rsidR="00523E78" w:rsidRPr="00523E78">
        <w:rPr>
          <w:i/>
        </w:rPr>
        <w:t>-ieren</w:t>
      </w:r>
      <w:r w:rsidR="00523E78" w:rsidRPr="00523E78">
        <w:t xml:space="preserve"> should rather be considered borrowings or back formations.</w:t>
      </w:r>
    </w:p>
    <w:p w14:paraId="439B6644" w14:textId="597A70B5" w:rsidR="00523E78" w:rsidRPr="00523E78" w:rsidRDefault="00523E78" w:rsidP="00523E78">
      <w:r w:rsidRPr="00523E78">
        <w:t>In order to interpret frequency data, we need to calibrate the measures with respect to unambiguous cases. For this calibration, we can use the Slovak counterparts, as in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450"/>
        <w:gridCol w:w="1530"/>
        <w:gridCol w:w="5549"/>
      </w:tblGrid>
      <w:tr w:rsidR="00A57CBA" w:rsidRPr="00523E78" w14:paraId="56CDFDB0" w14:textId="77777777" w:rsidTr="00F5797B">
        <w:tc>
          <w:tcPr>
            <w:tcW w:w="625" w:type="dxa"/>
          </w:tcPr>
          <w:p w14:paraId="5C25414A" w14:textId="7C44B3F8" w:rsidR="00A57CBA" w:rsidRPr="00523E78" w:rsidRDefault="00A57CBA" w:rsidP="00A57CBA">
            <w:pPr>
              <w:keepNext/>
              <w:spacing w:before="0"/>
              <w:rPr>
                <w:lang w:val="en-US"/>
              </w:rPr>
            </w:pPr>
            <w:r w:rsidRPr="00523E78">
              <w:rPr>
                <w:lang w:val="en-US"/>
              </w:rPr>
              <w:lastRenderedPageBreak/>
              <w:t>(</w:t>
            </w:r>
            <w:r>
              <w:rPr>
                <w:lang w:val="en-US"/>
              </w:rPr>
              <w:t>2</w:t>
            </w:r>
            <w:r w:rsidRPr="00523E78">
              <w:rPr>
                <w:lang w:val="en-US"/>
              </w:rPr>
              <w:t>)</w:t>
            </w:r>
          </w:p>
        </w:tc>
        <w:tc>
          <w:tcPr>
            <w:tcW w:w="450" w:type="dxa"/>
          </w:tcPr>
          <w:p w14:paraId="1C468FBF" w14:textId="77777777" w:rsidR="00A57CBA" w:rsidRPr="00523E78" w:rsidRDefault="00A57CBA" w:rsidP="00A57CBA">
            <w:pPr>
              <w:keepNext/>
              <w:spacing w:before="0"/>
              <w:rPr>
                <w:lang w:val="en-US"/>
              </w:rPr>
            </w:pPr>
            <w:r w:rsidRPr="00523E78">
              <w:rPr>
                <w:lang w:val="en-US"/>
              </w:rPr>
              <w:t>a.</w:t>
            </w:r>
          </w:p>
        </w:tc>
        <w:tc>
          <w:tcPr>
            <w:tcW w:w="1530" w:type="dxa"/>
          </w:tcPr>
          <w:p w14:paraId="5A056063" w14:textId="68527C67" w:rsidR="00A57CBA" w:rsidRPr="00523E78" w:rsidRDefault="00A57CBA" w:rsidP="00A57CBA">
            <w:pPr>
              <w:keepNext/>
              <w:spacing w:before="0"/>
              <w:rPr>
                <w:lang w:val="en-US"/>
              </w:rPr>
            </w:pPr>
            <w:r>
              <w:rPr>
                <w:lang w:val="en-US"/>
              </w:rPr>
              <w:t>lokalizácia</w:t>
            </w:r>
          </w:p>
        </w:tc>
        <w:tc>
          <w:tcPr>
            <w:tcW w:w="5549" w:type="dxa"/>
          </w:tcPr>
          <w:p w14:paraId="1B4F932E" w14:textId="77777777" w:rsidR="00A57CBA" w:rsidRPr="00523E78" w:rsidRDefault="00A57CBA" w:rsidP="00A57CBA">
            <w:pPr>
              <w:keepNext/>
              <w:spacing w:before="0"/>
              <w:rPr>
                <w:lang w:val="en-US"/>
              </w:rPr>
            </w:pPr>
            <w:r w:rsidRPr="00523E78">
              <w:rPr>
                <w:lang w:val="en-US"/>
              </w:rPr>
              <w:t>(‘localization’)</w:t>
            </w:r>
          </w:p>
        </w:tc>
      </w:tr>
      <w:tr w:rsidR="00A57CBA" w:rsidRPr="00523E78" w14:paraId="7C1B3A4F" w14:textId="77777777" w:rsidTr="00F5797B">
        <w:tc>
          <w:tcPr>
            <w:tcW w:w="625" w:type="dxa"/>
          </w:tcPr>
          <w:p w14:paraId="378A28B2" w14:textId="77777777" w:rsidR="00A57CBA" w:rsidRPr="00523E78" w:rsidRDefault="00A57CBA" w:rsidP="00A57CBA">
            <w:pPr>
              <w:keepNext/>
              <w:spacing w:before="0"/>
              <w:rPr>
                <w:lang w:val="en-US"/>
              </w:rPr>
            </w:pPr>
          </w:p>
        </w:tc>
        <w:tc>
          <w:tcPr>
            <w:tcW w:w="450" w:type="dxa"/>
          </w:tcPr>
          <w:p w14:paraId="4A4813BF" w14:textId="77777777" w:rsidR="00A57CBA" w:rsidRPr="00523E78" w:rsidRDefault="00A57CBA" w:rsidP="00A57CBA">
            <w:pPr>
              <w:keepNext/>
              <w:spacing w:before="0"/>
              <w:rPr>
                <w:lang w:val="en-US"/>
              </w:rPr>
            </w:pPr>
            <w:r w:rsidRPr="00523E78">
              <w:rPr>
                <w:lang w:val="en-US"/>
              </w:rPr>
              <w:t>b.</w:t>
            </w:r>
          </w:p>
        </w:tc>
        <w:tc>
          <w:tcPr>
            <w:tcW w:w="1530" w:type="dxa"/>
          </w:tcPr>
          <w:p w14:paraId="4A2A737B" w14:textId="746F5AAF" w:rsidR="00A57CBA" w:rsidRPr="00523E78" w:rsidRDefault="00A57CBA" w:rsidP="00A57CBA">
            <w:pPr>
              <w:keepNext/>
              <w:spacing w:before="0"/>
              <w:rPr>
                <w:lang w:val="en-US"/>
              </w:rPr>
            </w:pPr>
            <w:r w:rsidRPr="00523E78">
              <w:rPr>
                <w:lang w:val="en-US"/>
              </w:rPr>
              <w:t>lokali</w:t>
            </w:r>
            <w:r>
              <w:rPr>
                <w:lang w:val="en-US"/>
              </w:rPr>
              <w:t>zovať</w:t>
            </w:r>
          </w:p>
        </w:tc>
        <w:tc>
          <w:tcPr>
            <w:tcW w:w="5549" w:type="dxa"/>
          </w:tcPr>
          <w:p w14:paraId="599D2181" w14:textId="77777777" w:rsidR="00A57CBA" w:rsidRPr="00523E78" w:rsidRDefault="00A57CBA" w:rsidP="00A57CBA">
            <w:pPr>
              <w:keepNext/>
              <w:spacing w:before="0"/>
              <w:rPr>
                <w:lang w:val="en-US"/>
              </w:rPr>
            </w:pPr>
            <w:r w:rsidRPr="00523E78">
              <w:rPr>
                <w:lang w:val="en-US"/>
              </w:rPr>
              <w:t>(‘localize’)</w:t>
            </w:r>
          </w:p>
        </w:tc>
      </w:tr>
      <w:tr w:rsidR="00A57CBA" w:rsidRPr="00523E78" w14:paraId="4824E1AE" w14:textId="77777777" w:rsidTr="00F5797B">
        <w:tc>
          <w:tcPr>
            <w:tcW w:w="625" w:type="dxa"/>
          </w:tcPr>
          <w:p w14:paraId="3B98F0D8" w14:textId="77777777" w:rsidR="00A57CBA" w:rsidRPr="00523E78" w:rsidRDefault="00A57CBA" w:rsidP="00F5797B">
            <w:pPr>
              <w:spacing w:before="0"/>
              <w:rPr>
                <w:lang w:val="en-US"/>
              </w:rPr>
            </w:pPr>
          </w:p>
        </w:tc>
        <w:tc>
          <w:tcPr>
            <w:tcW w:w="450" w:type="dxa"/>
          </w:tcPr>
          <w:p w14:paraId="755C69F4" w14:textId="77777777" w:rsidR="00A57CBA" w:rsidRPr="00523E78" w:rsidRDefault="00A57CBA" w:rsidP="00F5797B">
            <w:pPr>
              <w:spacing w:before="0"/>
              <w:rPr>
                <w:lang w:val="en-US"/>
              </w:rPr>
            </w:pPr>
            <w:r w:rsidRPr="00523E78">
              <w:rPr>
                <w:lang w:val="en-US"/>
              </w:rPr>
              <w:t>c.</w:t>
            </w:r>
          </w:p>
        </w:tc>
        <w:tc>
          <w:tcPr>
            <w:tcW w:w="1530" w:type="dxa"/>
          </w:tcPr>
          <w:p w14:paraId="7559AD86" w14:textId="11AE6C7C" w:rsidR="00A57CBA" w:rsidRPr="00523E78" w:rsidRDefault="00A57CBA" w:rsidP="00F5797B">
            <w:pPr>
              <w:spacing w:before="0"/>
              <w:rPr>
                <w:lang w:val="en-US"/>
              </w:rPr>
            </w:pPr>
            <w:r>
              <w:rPr>
                <w:lang w:val="en-US"/>
              </w:rPr>
              <w:t>lokalizovanie</w:t>
            </w:r>
          </w:p>
        </w:tc>
        <w:tc>
          <w:tcPr>
            <w:tcW w:w="5549" w:type="dxa"/>
          </w:tcPr>
          <w:p w14:paraId="0C62DF80" w14:textId="77777777" w:rsidR="00A57CBA" w:rsidRPr="00523E78" w:rsidRDefault="00A57CBA" w:rsidP="00F5797B">
            <w:pPr>
              <w:spacing w:before="0"/>
              <w:rPr>
                <w:lang w:val="en-US"/>
              </w:rPr>
            </w:pPr>
            <w:r w:rsidRPr="00523E78">
              <w:rPr>
                <w:lang w:val="en-US"/>
              </w:rPr>
              <w:t>(‘localization’)</w:t>
            </w:r>
          </w:p>
        </w:tc>
      </w:tr>
    </w:tbl>
    <w:p w14:paraId="3BAF2308" w14:textId="77777777" w:rsidR="00523E78" w:rsidRPr="00523E78" w:rsidRDefault="00523E78" w:rsidP="00523E78">
      <w:r w:rsidRPr="00523E78">
        <w:t xml:space="preserve">In Slovak, the only source for the base of (2a) is a borrowing. In this case, Latin is the most likely source. This means that (2b) must be a backformation based on (2a). The alternative noun in (2c) is derived from the verb in (2b). Comparing the frequency profiles of German triples such as (1) and Slovak triples such as (2) will then provide information about the likelihood that nouns in </w:t>
      </w:r>
      <w:r w:rsidRPr="00523E78">
        <w:rPr>
          <w:i/>
        </w:rPr>
        <w:t>-ation</w:t>
      </w:r>
      <w:r w:rsidRPr="00523E78">
        <w:t xml:space="preserve"> are borrowed or result from word formation.</w:t>
      </w:r>
    </w:p>
    <w:p w14:paraId="48DFCC10" w14:textId="77777777" w:rsidR="00523E78" w:rsidRPr="00523E78" w:rsidRDefault="00523E78" w:rsidP="00523E78">
      <w:r w:rsidRPr="00523E78">
        <w:t xml:space="preserve">Frequency profiles are the characteristic distribution of frequency between base words and derivatives in a large corpus. They can be used to determine the likelihood that borrowing or word formation is at the origin of a lexical relationship. By comparing frequency profiles for controversial cases with those for cases where there is no doubt about the relationship, we can determine the most likely analysis for the former. We applied this to German nouns in </w:t>
      </w:r>
      <w:r w:rsidRPr="00523E78">
        <w:rPr>
          <w:i/>
          <w:iCs/>
        </w:rPr>
        <w:noBreakHyphen/>
        <w:t>ation</w:t>
      </w:r>
      <w:r w:rsidRPr="00523E78">
        <w:t xml:space="preserve"> and Slovak nouns in </w:t>
      </w:r>
      <w:r w:rsidRPr="00523E78">
        <w:rPr>
          <w:i/>
          <w:iCs/>
        </w:rPr>
        <w:t>-ácia</w:t>
      </w:r>
      <w:r w:rsidRPr="00523E78">
        <w:t>. Further research will be necessary to calibrate the frequency profiles and compare them for a larger set of cross-linguistic data.</w:t>
      </w:r>
    </w:p>
    <w:p w14:paraId="3EB8C872" w14:textId="77777777" w:rsidR="00AB181E" w:rsidRDefault="00224AA6">
      <w:pPr>
        <w:pStyle w:val="TableofAuthorities"/>
      </w:pPr>
      <w:r>
        <w:t>References</w:t>
      </w:r>
    </w:p>
    <w:p w14:paraId="1012E0A9" w14:textId="168A687F" w:rsidR="00A57CBA" w:rsidRPr="00A57CBA" w:rsidRDefault="00A57CBA" w:rsidP="00A57CBA">
      <w:pPr>
        <w:pStyle w:val="Literaturverzeichnis1"/>
        <w:ind w:left="397" w:hanging="397"/>
      </w:pPr>
      <w:r w:rsidRPr="00A57CBA">
        <w:t>Baayen, Harald (1992)</w:t>
      </w:r>
      <w:r w:rsidRPr="003F5046">
        <w:t>:</w:t>
      </w:r>
      <w:r w:rsidRPr="00A57CBA">
        <w:t xml:space="preserve"> Quantitative aspects of morphological productivity</w:t>
      </w:r>
      <w:r w:rsidRPr="003F5046">
        <w:t>.</w:t>
      </w:r>
      <w:r w:rsidRPr="00A57CBA">
        <w:t xml:space="preserve"> </w:t>
      </w:r>
      <w:r w:rsidRPr="003F5046">
        <w:t>I</w:t>
      </w:r>
      <w:r w:rsidRPr="00A57CBA">
        <w:t>n Booij, Geert &amp; van Marle, Jaap (eds.), Yearbook of Morphology 1991</w:t>
      </w:r>
      <w:r w:rsidR="003F5046">
        <w:t>.</w:t>
      </w:r>
      <w:r w:rsidRPr="00A57CBA">
        <w:t xml:space="preserve"> Dordrecht: Kluwer Academic, pp. 109-149.</w:t>
      </w:r>
    </w:p>
    <w:p w14:paraId="3F415E2E" w14:textId="6B133FDC" w:rsidR="00A57CBA" w:rsidRPr="00A57CBA" w:rsidRDefault="00A57CBA" w:rsidP="00A57CBA">
      <w:pPr>
        <w:pStyle w:val="Literaturverzeichnis1"/>
        <w:ind w:left="397" w:hanging="397"/>
      </w:pPr>
      <w:r w:rsidRPr="00A57CBA">
        <w:t>Furdík, Juraj (1978)</w:t>
      </w:r>
      <w:r w:rsidRPr="003F5046">
        <w:t>:</w:t>
      </w:r>
      <w:r w:rsidRPr="00A57CBA">
        <w:t xml:space="preserve"> Slovotvorná motivovanosť slovnej zásoby v slovenčine</w:t>
      </w:r>
      <w:r w:rsidRPr="003F5046">
        <w:t>. I</w:t>
      </w:r>
      <w:r w:rsidRPr="00A57CBA">
        <w:t>n Mistrík, Jozef (ed.), Studia Academica Slovaca 7: Prednášky XIV. letného seminára slovenského jazyka a kultúry</w:t>
      </w:r>
      <w:r w:rsidR="003F5046">
        <w:t>.</w:t>
      </w:r>
      <w:r w:rsidRPr="00A57CBA">
        <w:t xml:space="preserve"> Bratislava: Alfa, pp. 103-115.</w:t>
      </w:r>
    </w:p>
    <w:p w14:paraId="49C6D9AF" w14:textId="24935333" w:rsidR="00A57CBA" w:rsidRPr="00A57CBA" w:rsidRDefault="00A57CBA" w:rsidP="00A57CBA">
      <w:pPr>
        <w:pStyle w:val="Literaturverzeichnis1"/>
        <w:ind w:left="397" w:hanging="397"/>
      </w:pPr>
      <w:r w:rsidRPr="00A57CBA">
        <w:t>Furdík, Juraj (2004)</w:t>
      </w:r>
      <w:r w:rsidRPr="003F5046">
        <w:t>:</w:t>
      </w:r>
      <w:r w:rsidRPr="00A57CBA">
        <w:t xml:space="preserve"> Slovenská slovotvorba (teória, opis, cvičenia), Ološtiak, Martin (ed.)</w:t>
      </w:r>
      <w:r w:rsidR="003F5046">
        <w:t>.</w:t>
      </w:r>
      <w:r w:rsidRPr="00A57CBA">
        <w:t xml:space="preserve"> Prešov: Náuka.</w:t>
      </w:r>
    </w:p>
    <w:p w14:paraId="6C99F9A5" w14:textId="64900031" w:rsidR="00A57CBA" w:rsidRPr="00A57CBA" w:rsidRDefault="00A57CBA" w:rsidP="00A57CBA">
      <w:pPr>
        <w:pStyle w:val="Literaturverzeichnis1"/>
        <w:ind w:left="397" w:hanging="397"/>
      </w:pPr>
      <w:r w:rsidRPr="00A57CBA">
        <w:t>Mistrík, Jozef (1985)</w:t>
      </w:r>
      <w:r w:rsidRPr="003F5046">
        <w:t>:</w:t>
      </w:r>
      <w:r w:rsidRPr="00A57CBA">
        <w:t xml:space="preserve"> Frekvencia tvarov a konštrukcií v slovenčine</w:t>
      </w:r>
      <w:r w:rsidR="003F5046">
        <w:t>.</w:t>
      </w:r>
      <w:r w:rsidRPr="00A57CBA">
        <w:t xml:space="preserve"> Bratislava: Veda.</w:t>
      </w:r>
    </w:p>
    <w:p w14:paraId="6A0B1E6F" w14:textId="36750AE1" w:rsidR="00A57CBA" w:rsidRPr="00A57CBA" w:rsidRDefault="00A57CBA" w:rsidP="00A57CBA">
      <w:pPr>
        <w:pStyle w:val="Literaturverzeichnis1"/>
        <w:ind w:left="397" w:hanging="397"/>
      </w:pPr>
      <w:r w:rsidRPr="00A57CBA">
        <w:t>Ološtiak, Martin</w:t>
      </w:r>
      <w:r w:rsidRPr="003F5046">
        <w:t>/</w:t>
      </w:r>
      <w:r w:rsidRPr="00A57CBA">
        <w:t>Ivanová, Martina (2015)</w:t>
      </w:r>
      <w:r w:rsidRPr="003F5046">
        <w:t xml:space="preserve">: </w:t>
      </w:r>
      <w:r w:rsidRPr="00A57CBA">
        <w:t>Teoreticko-metodologické aspekty</w:t>
      </w:r>
      <w:r w:rsidRPr="003F5046">
        <w:t>. I</w:t>
      </w:r>
      <w:r w:rsidRPr="00A57CBA">
        <w:t>n Ološtiak, Martin (ed.), Kvalitatívne a kvantitatívne aspekty tvorenia slov v slovenčine</w:t>
      </w:r>
      <w:r w:rsidR="003F5046">
        <w:t>.</w:t>
      </w:r>
      <w:r w:rsidRPr="00A57CBA">
        <w:t xml:space="preserve"> Prešov: Filozofická fakulta Prešovskej univerzity v Prešove, pp. 87-138.</w:t>
      </w:r>
    </w:p>
    <w:p w14:paraId="087155FA" w14:textId="77777777" w:rsidR="00AB181E" w:rsidRDefault="00224AA6">
      <w:pPr>
        <w:pStyle w:val="Heading1"/>
      </w:pPr>
      <w:r>
        <w:t>Contact information</w:t>
      </w:r>
    </w:p>
    <w:p w14:paraId="27D122B2" w14:textId="629A960A" w:rsidR="00AB181E" w:rsidRDefault="003F5046">
      <w:r>
        <w:rPr>
          <w:rStyle w:val="Strong"/>
        </w:rPr>
        <w:t>Renáta Panocová</w:t>
      </w:r>
    </w:p>
    <w:p w14:paraId="1D2CC8D4" w14:textId="30789BCB" w:rsidR="00AB181E" w:rsidRDefault="003F5046">
      <w:r>
        <w:t>Pavol Jozef Šafárik University in Košice</w:t>
      </w:r>
    </w:p>
    <w:p w14:paraId="5A212F67" w14:textId="7B12C560" w:rsidR="00AB181E" w:rsidRDefault="003F5046">
      <w:r>
        <w:t>renata.panocova@upjs.sk</w:t>
      </w:r>
    </w:p>
    <w:p w14:paraId="6D744AC4" w14:textId="4948B3D9" w:rsidR="003F5046" w:rsidRDefault="003F5046" w:rsidP="003F5046">
      <w:r>
        <w:rPr>
          <w:rStyle w:val="Strong"/>
        </w:rPr>
        <w:t>Pius ten Hacken</w:t>
      </w:r>
    </w:p>
    <w:p w14:paraId="216533D8" w14:textId="31C39FD0" w:rsidR="003F5046" w:rsidRDefault="003F5046" w:rsidP="003F5046">
      <w:r>
        <w:t>Leopold-Franzens-Universität Innsbruck</w:t>
      </w:r>
    </w:p>
    <w:p w14:paraId="7B92660B" w14:textId="17B9CC54" w:rsidR="00AB181E" w:rsidRDefault="003F5046" w:rsidP="003F5046">
      <w:r>
        <w:t>pius.ten-hacken@uibk.ac.at</w:t>
      </w:r>
    </w:p>
    <w:sectPr w:rsidR="00AB181E">
      <w:headerReference w:type="default" r:id="rId7"/>
      <w:footerReference w:type="default" r:id="rId8"/>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67CBB" w14:textId="77777777" w:rsidR="008A2321" w:rsidRDefault="008A2321">
      <w:pPr>
        <w:spacing w:before="0" w:line="240" w:lineRule="auto"/>
      </w:pPr>
      <w:r>
        <w:separator/>
      </w:r>
    </w:p>
  </w:endnote>
  <w:endnote w:type="continuationSeparator" w:id="0">
    <w:p w14:paraId="637800ED" w14:textId="77777777" w:rsidR="008A2321" w:rsidRDefault="008A232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C47CD325-37DA-824C-BA91-48BE9742812C}"/>
    <w:embedBold r:id="rId2" w:fontKey="{AD67DFBD-ACCD-2C4D-A409-752F55A37ADF}"/>
    <w:embedItalic r:id="rId3" w:fontKey="{73C864CB-1D0C-D442-B074-9CF5E638D5ED}"/>
  </w:font>
  <w:font w:name="Tahoma">
    <w:panose1 w:val="020B0604030504040204"/>
    <w:charset w:val="00"/>
    <w:family w:val="swiss"/>
    <w:pitch w:val="variable"/>
    <w:sig w:usb0="E1002EFF" w:usb1="C000605B" w:usb2="00000029" w:usb3="00000000" w:csb0="000101FF" w:csb1="00000000"/>
    <w:embedRegular r:id="rId4" w:fontKey="{BE2F0FF2-4F9D-F24B-84AE-E8120FA7CA3A}"/>
    <w:embedBold r:id="rId5" w:fontKey="{D199BC9B-BEE7-B547-B195-C686491B1690}"/>
    <w:embedItalic r:id="rId6" w:fontKey="{F424AC10-F4F3-B841-B94B-356BC1EE31F0}"/>
  </w:font>
  <w:font w:name="Libertinus Serif">
    <w:altName w:val="Calibri"/>
    <w:panose1 w:val="020B0604020202020204"/>
    <w:charset w:val="00"/>
    <w:family w:val="modern"/>
    <w:notTrueType/>
    <w:pitch w:val="variable"/>
    <w:sig w:usb0="E0000AFF" w:usb1="0200E5FB" w:usb2="01000020" w:usb3="00000000" w:csb0="000001BF" w:csb1="00000000"/>
  </w:font>
  <w:font w:name="Fira Sans">
    <w:panose1 w:val="020B0503050000020004"/>
    <w:charset w:val="00"/>
    <w:family w:val="swiss"/>
    <w:pitch w:val="variable"/>
    <w:sig w:usb0="600002FF" w:usb1="00000001" w:usb2="00000000" w:usb3="00000000" w:csb0="0000019F" w:csb1="00000000"/>
    <w:embedRegular r:id="rId11" w:fontKey="{AA7AF819-E14C-8241-9F52-7636E2791C86}"/>
    <w:embedBold r:id="rId12" w:fontKey="{BBE78B90-C9DD-9D41-9135-7CC49B5D3732}"/>
  </w:font>
  <w:font w:name="Times New Roman">
    <w:panose1 w:val="02020603050405020304"/>
    <w:charset w:val="00"/>
    <w:family w:val="roman"/>
    <w:pitch w:val="variable"/>
    <w:sig w:usb0="E0002EFF" w:usb1="C000785B" w:usb2="00000009" w:usb3="00000000" w:csb0="000001FF" w:csb1="00000000"/>
    <w:embedRegular r:id="rId13" w:fontKey="{7B0B76A0-6229-C44F-9E45-0135F2919FEF}"/>
    <w:embedBold r:id="rId14" w:fontKey="{86968476-9A1F-1E4E-BBFF-5C26974572AB}"/>
    <w:embedItalic r:id="rId15" w:fontKey="{16927313-F9FD-9F4A-8238-3C211D8F40B4}"/>
    <w:embedBoldItalic r:id="rId16" w:fontKey="{154ECEFC-A387-B34F-B380-1E84BCE9636A}"/>
  </w:font>
  <w:font w:name="OpenSymbol">
    <w:altName w:val="Arial Unicode MS"/>
    <w:panose1 w:val="020B0604020202020204"/>
    <w:charset w:val="00"/>
    <w:family w:val="auto"/>
    <w:pitch w:val="variable"/>
    <w:sig w:usb0="800000AF" w:usb1="1001ECEA" w:usb2="00000000" w:usb3="00000000" w:csb0="80000001" w:csb1="00000000"/>
    <w:embedRegular r:id="rId17" w:fontKey="{BBEE0289-5759-8D42-9C8A-2CF22506ABD6}"/>
  </w:font>
  <w:font w:name="Liberation Sans">
    <w:altName w:val="Arial"/>
    <w:panose1 w:val="020B0604020202020204"/>
    <w:charset w:val="00"/>
    <w:family w:val="swiss"/>
    <w:pitch w:val="variable"/>
    <w:sig w:usb0="E0000AFF" w:usb1="500078FF" w:usb2="00000021" w:usb3="00000000" w:csb0="000001BF" w:csb1="00000000"/>
    <w:embedBold r:id="rId18" w:fontKey="{B07EBB41-8883-BA4D-9064-C28D82D6657A}"/>
  </w:font>
  <w:font w:name="Noto Sans CJK SC">
    <w:panose1 w:val="020B0604020202020204"/>
    <w:charset w:val="00"/>
    <w:family w:val="roman"/>
    <w:notTrueType/>
    <w:pitch w:val="default"/>
  </w:font>
  <w:font w:name="Droid Sans Devanagari">
    <w:altName w:val="Times New Roman"/>
    <w:panose1 w:val="020B06040202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embedRegular r:id="rId23" w:fontKey="{2967C4B7-318B-A24A-AB87-2AD4A1F9ED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AE31E" w14:textId="77777777" w:rsidR="00AB181E" w:rsidRDefault="00224AA6" w:rsidP="00694682">
    <w:pPr>
      <w:pStyle w:val="Footer"/>
      <w:jc w:val="right"/>
    </w:pPr>
    <w:r>
      <w:rPr>
        <w:rStyle w:val="PageNumber"/>
        <w:rFonts w:cs="Libertinus Serif"/>
      </w:rPr>
      <w:fldChar w:fldCharType="begin"/>
    </w:r>
    <w:r>
      <w:rPr>
        <w:rStyle w:val="PageNumber"/>
        <w:rFonts w:cs="Libertinus Serif"/>
      </w:rPr>
      <w:instrText xml:space="preserve"> PAGE </w:instrText>
    </w:r>
    <w:r>
      <w:rPr>
        <w:rStyle w:val="PageNumber"/>
        <w:rFonts w:cs="Libertinus Serif"/>
      </w:rPr>
      <w:fldChar w:fldCharType="separate"/>
    </w:r>
    <w:r w:rsidR="004C5262">
      <w:rPr>
        <w:rStyle w:val="PageNumber"/>
        <w:rFonts w:cs="Libertinus Serif"/>
        <w:noProof/>
      </w:rPr>
      <w:t>3</w:t>
    </w:r>
    <w:r>
      <w:rPr>
        <w:rStyle w:val="PageNumber"/>
        <w:rFonts w:cs="Libertinus Serif"/>
      </w:rPr>
      <w:fldChar w:fldCharType="end"/>
    </w:r>
  </w:p>
  <w:p w14:paraId="2747CEFD" w14:textId="77777777" w:rsidR="00AB181E" w:rsidRDefault="00AB181E">
    <w:pPr>
      <w:pStyle w:val="Footer"/>
    </w:pPr>
  </w:p>
  <w:p w14:paraId="08DC98A1"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D6D4D" w14:textId="77777777" w:rsidR="008A2321" w:rsidRDefault="008A2321">
      <w:pPr>
        <w:rPr>
          <w:sz w:val="12"/>
        </w:rPr>
      </w:pPr>
      <w:r>
        <w:separator/>
      </w:r>
    </w:p>
  </w:footnote>
  <w:footnote w:type="continuationSeparator" w:id="0">
    <w:p w14:paraId="5EC529F0" w14:textId="77777777" w:rsidR="008A2321" w:rsidRDefault="008A2321">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33040" w14:textId="506940BD" w:rsidR="00AB181E" w:rsidRDefault="00AB181E">
    <w:pPr>
      <w:pStyle w:val="Header"/>
    </w:pPr>
  </w:p>
  <w:p w14:paraId="652F0B46"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498620240">
    <w:abstractNumId w:val="0"/>
  </w:num>
  <w:num w:numId="2" w16cid:durableId="2105759236">
    <w:abstractNumId w:val="1"/>
  </w:num>
  <w:num w:numId="3" w16cid:durableId="562571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TrueTypeFont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F11EC"/>
    <w:rsid w:val="00224AA6"/>
    <w:rsid w:val="00227F60"/>
    <w:rsid w:val="0030021B"/>
    <w:rsid w:val="00364AF6"/>
    <w:rsid w:val="003F5046"/>
    <w:rsid w:val="004C5262"/>
    <w:rsid w:val="00523E78"/>
    <w:rsid w:val="00694682"/>
    <w:rsid w:val="00717483"/>
    <w:rsid w:val="00772586"/>
    <w:rsid w:val="008A2321"/>
    <w:rsid w:val="008E4083"/>
    <w:rsid w:val="009D4AD9"/>
    <w:rsid w:val="00A54BA3"/>
    <w:rsid w:val="00A57CBA"/>
    <w:rsid w:val="00AB181E"/>
    <w:rsid w:val="00AC76E1"/>
    <w:rsid w:val="00B22F8E"/>
    <w:rsid w:val="00C425D1"/>
    <w:rsid w:val="00DB1137"/>
    <w:rsid w:val="00EC443E"/>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2C9AD"/>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Heading1">
    <w:name w:val="heading 1"/>
    <w:basedOn w:val="Normal"/>
    <w:next w:val="Normal"/>
    <w:link w:val="Heading1Char"/>
    <w:qFormat/>
    <w:pPr>
      <w:keepNext/>
      <w:keepLines/>
      <w:spacing w:before="340" w:after="113" w:line="360" w:lineRule="exact"/>
      <w:outlineLvl w:val="0"/>
    </w:pPr>
    <w:rPr>
      <w:rFonts w:ascii="Fira Sans" w:hAnsi="Fira Sans"/>
      <w:b/>
      <w:color w:val="4FAF4A"/>
      <w:sz w:val="28"/>
      <w:szCs w:val="32"/>
    </w:rPr>
  </w:style>
  <w:style w:type="paragraph" w:styleId="Heading2">
    <w:name w:val="heading 2"/>
    <w:basedOn w:val="Normal"/>
    <w:next w:val="Normal"/>
    <w:link w:val="Heading2Char"/>
    <w:qFormat/>
    <w:pPr>
      <w:keepNext/>
      <w:keepLines/>
      <w:spacing w:before="340" w:after="113" w:line="340" w:lineRule="exact"/>
      <w:outlineLvl w:val="1"/>
    </w:pPr>
    <w:rPr>
      <w:rFonts w:ascii="Fira Sans" w:hAnsi="Fira Sans"/>
      <w:b/>
      <w:color w:val="4FAF4A"/>
      <w:sz w:val="26"/>
      <w:szCs w:val="26"/>
    </w:rPr>
  </w:style>
  <w:style w:type="paragraph" w:styleId="Heading3">
    <w:name w:val="heading 3"/>
    <w:basedOn w:val="Normal"/>
    <w:next w:val="Normal"/>
    <w:link w:val="Heading3Char"/>
    <w:qFormat/>
    <w:pPr>
      <w:keepNext/>
      <w:keepLines/>
      <w:spacing w:before="227" w:after="113" w:line="320" w:lineRule="exact"/>
      <w:outlineLvl w:val="2"/>
    </w:pPr>
    <w:rPr>
      <w:rFonts w:ascii="Fira Sans" w:hAnsi="Fira Sans"/>
      <w:color w:val="4FAF4A"/>
      <w:sz w:val="24"/>
      <w:szCs w:val="24"/>
    </w:rPr>
  </w:style>
  <w:style w:type="paragraph" w:styleId="Heading4">
    <w:name w:val="heading 4"/>
    <w:basedOn w:val="Normal"/>
    <w:next w:val="Normal"/>
    <w:link w:val="Heading4Char"/>
    <w:qFormat/>
    <w:pPr>
      <w:keepNext/>
      <w:keepLines/>
      <w:spacing w:before="227"/>
      <w:outlineLvl w:val="3"/>
    </w:pPr>
    <w:rPr>
      <w:rFonts w:ascii="Fira Sans" w:hAnsi="Fira Sans"/>
      <w:iCs/>
      <w:color w:val="4FAF4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Pr>
      <w:rFonts w:ascii="Fira Sans" w:eastAsia="Calibri" w:hAnsi="Fira Sans" w:cs="Tahoma"/>
      <w:b/>
      <w:color w:val="F79646"/>
      <w:sz w:val="28"/>
      <w:szCs w:val="32"/>
    </w:rPr>
  </w:style>
  <w:style w:type="character" w:customStyle="1" w:styleId="Heading2Char">
    <w:name w:val="Heading 2 Char"/>
    <w:basedOn w:val="DefaultParagraphFont"/>
    <w:link w:val="Heading2"/>
    <w:qFormat/>
    <w:rPr>
      <w:rFonts w:ascii="Fira Sans" w:eastAsia="Calibri" w:hAnsi="Fira Sans" w:cs="Tahoma"/>
      <w:b/>
      <w:color w:val="F79646"/>
      <w:sz w:val="26"/>
      <w:szCs w:val="26"/>
    </w:rPr>
  </w:style>
  <w:style w:type="character" w:customStyle="1" w:styleId="Heading3Char">
    <w:name w:val="Heading 3 Char"/>
    <w:basedOn w:val="DefaultParagraphFont"/>
    <w:link w:val="Heading3"/>
    <w:qFormat/>
    <w:rPr>
      <w:rFonts w:ascii="Fira Sans" w:eastAsia="Calibri" w:hAnsi="Fira Sans" w:cs="Tahoma"/>
      <w:color w:val="F79646"/>
      <w:sz w:val="24"/>
      <w:szCs w:val="24"/>
    </w:rPr>
  </w:style>
  <w:style w:type="character" w:customStyle="1" w:styleId="Heading4Char">
    <w:name w:val="Heading 4 Char"/>
    <w:basedOn w:val="DefaultParagraphFont"/>
    <w:link w:val="Heading4"/>
    <w:qFormat/>
    <w:rPr>
      <w:rFonts w:ascii="Fira Sans" w:eastAsia="Calibri" w:hAnsi="Fira Sans" w:cs="Tahoma"/>
      <w:iCs/>
      <w:color w:val="F79646"/>
    </w:rPr>
  </w:style>
  <w:style w:type="character" w:customStyle="1" w:styleId="TitleChar">
    <w:name w:val="Title Char"/>
    <w:basedOn w:val="DefaultParagraphFont"/>
    <w:link w:val="Title"/>
    <w:qFormat/>
    <w:rsid w:val="00227F60"/>
    <w:rPr>
      <w:rFonts w:ascii="Fira Sans" w:hAnsi="Fira Sans"/>
      <w:b/>
      <w:color w:val="4FAF4A"/>
      <w:sz w:val="38"/>
      <w:szCs w:val="56"/>
    </w:rPr>
  </w:style>
  <w:style w:type="character" w:styleId="Strong">
    <w:name w:val="Strong"/>
    <w:basedOn w:val="DefaultParagraphFont"/>
    <w:qFormat/>
    <w:rPr>
      <w:b/>
      <w:bCs/>
    </w:rPr>
  </w:style>
  <w:style w:type="character" w:styleId="Emphasis">
    <w:name w:val="Emphasis"/>
    <w:basedOn w:val="DefaultParagraphFont"/>
    <w:qFormat/>
    <w:rPr>
      <w:i/>
      <w:iCs/>
    </w:rPr>
  </w:style>
  <w:style w:type="character" w:styleId="IntenseEmphasis">
    <w:name w:val="Intense Emphasis"/>
    <w:basedOn w:val="DefaultParagraphFont"/>
    <w:qFormat/>
    <w:rPr>
      <w:rFonts w:ascii="Libertinus Serif" w:hAnsi="Libertinus Serif"/>
      <w:b/>
      <w:bCs/>
      <w:i/>
      <w:iCs/>
      <w:color w:val="auto"/>
    </w:rPr>
  </w:style>
  <w:style w:type="character" w:customStyle="1" w:styleId="QuoteChar">
    <w:name w:val="Quote Char"/>
    <w:basedOn w:val="DefaultParagraphFont"/>
    <w:link w:val="Quote"/>
    <w:qFormat/>
    <w:rPr>
      <w:rFonts w:ascii="Libertinus Serif" w:hAnsi="Libertinus Serif"/>
      <w:iCs/>
      <w:sz w:val="20"/>
    </w:rPr>
  </w:style>
  <w:style w:type="character" w:customStyle="1" w:styleId="SubtitleChar">
    <w:name w:val="Subtitle Char"/>
    <w:basedOn w:val="DefaultParagraphFont"/>
    <w:link w:val="Subtitle"/>
    <w:qFormat/>
    <w:rsid w:val="004C5262"/>
    <w:rPr>
      <w:rFonts w:ascii="Fira Sans" w:hAnsi="Fira Sans"/>
      <w:b/>
      <w:color w:val="5A5A5A"/>
      <w:spacing w:val="16"/>
      <w:sz w:val="28"/>
    </w:rPr>
  </w:style>
  <w:style w:type="character" w:customStyle="1" w:styleId="HeaderChar">
    <w:name w:val="Header Char"/>
    <w:basedOn w:val="DefaultParagraphFont"/>
    <w:link w:val="Header"/>
    <w:qFormat/>
    <w:rPr>
      <w:rFonts w:ascii="Times New Roman" w:hAnsi="Times New Roman"/>
      <w:sz w:val="24"/>
    </w:rPr>
  </w:style>
  <w:style w:type="character" w:customStyle="1" w:styleId="FooterChar">
    <w:name w:val="Footer Char"/>
    <w:basedOn w:val="DefaultParagraphFont"/>
    <w:link w:val="Footer"/>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DefaultParagraphFont"/>
    <w:rPr>
      <w:color w:val="000080"/>
      <w:w w:val="100"/>
      <w:u w:val="thick" w:color="000080"/>
    </w:rPr>
  </w:style>
  <w:style w:type="character" w:styleId="PageNumber">
    <w:name w:val="page number"/>
    <w:basedOn w:val="DefaultParagraphFont"/>
    <w:qFormat/>
  </w:style>
  <w:style w:type="character" w:customStyle="1" w:styleId="FootnoteTextChar">
    <w:name w:val="Footnote Text Char"/>
    <w:basedOn w:val="DefaultParagraphFont"/>
    <w:link w:val="FootnoteText"/>
    <w:qFormat/>
    <w:rPr>
      <w:rFonts w:ascii="Times New Roman" w:hAnsi="Times New Roman"/>
      <w:sz w:val="20"/>
      <w:szCs w:val="20"/>
    </w:rPr>
  </w:style>
  <w:style w:type="character" w:customStyle="1" w:styleId="IntenseQuoteChar">
    <w:name w:val="Intense Quote Char"/>
    <w:basedOn w:val="DefaultParagraphFont"/>
    <w:link w:val="IntenseQuote"/>
    <w:qFormat/>
    <w:rPr>
      <w:rFonts w:ascii="Libertinus Serif" w:hAnsi="Libertinus Serif"/>
      <w:bCs/>
      <w:sz w:val="20"/>
    </w:rPr>
  </w:style>
  <w:style w:type="character" w:customStyle="1" w:styleId="KapitlchenSmallCapital">
    <w:name w:val="Kapitälchen/Small Capital"/>
    <w:basedOn w:val="DefaultParagraphFont"/>
    <w:qFormat/>
    <w:rPr>
      <w:smallCaps/>
    </w:rPr>
  </w:style>
  <w:style w:type="character" w:customStyle="1" w:styleId="Aufzhlungszeichen1">
    <w:name w:val="Aufzählungszeichen1"/>
    <w:qFormat/>
    <w:rPr>
      <w:rFonts w:ascii="OpenSymbol" w:eastAsia="OpenSymbol" w:hAnsi="OpenSymbol" w:cs="OpenSymbol"/>
    </w:rPr>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BalloonTextChar">
    <w:name w:val="Balloon Text Char"/>
    <w:basedOn w:val="DefaultParagraphFont"/>
    <w:link w:val="BalloonText"/>
    <w:qFormat/>
    <w:rPr>
      <w:rFonts w:ascii="Tahoma" w:hAnsi="Tahoma" w:cs="Tahoma"/>
      <w:sz w:val="16"/>
      <w:szCs w:val="16"/>
    </w:rPr>
  </w:style>
  <w:style w:type="paragraph" w:customStyle="1" w:styleId="berschrift">
    <w:name w:val="Überschrift"/>
    <w:basedOn w:val="Heading1"/>
    <w:next w:val="BodyText"/>
    <w:qFormat/>
    <w:pPr>
      <w:spacing w:before="240" w:after="120"/>
    </w:pPr>
    <w:rPr>
      <w:rFonts w:ascii="Liberation Sans" w:eastAsia="Noto Sans CJK SC" w:hAnsi="Liberation Sans" w:cs="Droid Sans Devanagari"/>
      <w:szCs w:val="28"/>
    </w:rPr>
  </w:style>
  <w:style w:type="paragraph" w:styleId="BodyText">
    <w:name w:val="Body Text"/>
    <w:basedOn w:val="Normal"/>
    <w:pPr>
      <w:spacing w:before="0"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le">
    <w:name w:val="Title"/>
    <w:basedOn w:val="Normal"/>
    <w:next w:val="Normal"/>
    <w:link w:val="Title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Quote">
    <w:name w:val="Quote"/>
    <w:basedOn w:val="Normal"/>
    <w:next w:val="Normal"/>
    <w:link w:val="QuoteChar"/>
    <w:qFormat/>
    <w:pPr>
      <w:spacing w:line="250" w:lineRule="exact"/>
      <w:ind w:left="794" w:right="794"/>
    </w:pPr>
    <w:rPr>
      <w:iCs/>
      <w:sz w:val="20"/>
    </w:rPr>
  </w:style>
  <w:style w:type="paragraph" w:styleId="Subtitle">
    <w:name w:val="Subtitle"/>
    <w:basedOn w:val="Normal"/>
    <w:next w:val="Normal"/>
    <w:link w:val="SubtitleCh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le"/>
    <w:qFormat/>
    <w:pPr>
      <w:spacing w:before="0" w:line="340" w:lineRule="exact"/>
    </w:pPr>
    <w:rPr>
      <w:b w:val="0"/>
      <w:color w:val="auto"/>
      <w:sz w:val="26"/>
    </w:rPr>
  </w:style>
  <w:style w:type="paragraph" w:styleId="ListParagraph">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Header">
    <w:name w:val="header"/>
    <w:basedOn w:val="Normal"/>
    <w:link w:val="HeaderChar"/>
    <w:pPr>
      <w:tabs>
        <w:tab w:val="center" w:pos="4536"/>
        <w:tab w:val="right" w:pos="9072"/>
      </w:tabs>
      <w:spacing w:before="0" w:line="240" w:lineRule="auto"/>
    </w:pPr>
  </w:style>
  <w:style w:type="paragraph" w:styleId="Footer">
    <w:name w:val="footer"/>
    <w:basedOn w:val="Normal"/>
    <w:link w:val="FooterChar"/>
    <w:pPr>
      <w:tabs>
        <w:tab w:val="center" w:pos="4536"/>
        <w:tab w:val="right" w:pos="9072"/>
      </w:tabs>
      <w:spacing w:before="0" w:line="240" w:lineRule="auto"/>
    </w:pPr>
  </w:style>
  <w:style w:type="paragraph" w:customStyle="1" w:styleId="FunoteFootnote">
    <w:name w:val="Fußnote/Footnote"/>
    <w:basedOn w:val="FootnoteText"/>
    <w:qFormat/>
    <w:pPr>
      <w:tabs>
        <w:tab w:val="left" w:pos="283"/>
      </w:tabs>
      <w:spacing w:line="230" w:lineRule="atLeast"/>
      <w:ind w:left="284" w:hanging="284"/>
      <w:textAlignment w:val="center"/>
    </w:pPr>
    <w:rPr>
      <w:rFonts w:cs="Times New Roman"/>
    </w:rPr>
  </w:style>
  <w:style w:type="paragraph" w:styleId="FootnoteText">
    <w:name w:val="footnote text"/>
    <w:basedOn w:val="Normal"/>
    <w:link w:val="FootnoteTextCh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IntenseQuote">
    <w:name w:val="Intense Quote"/>
    <w:basedOn w:val="Quote"/>
    <w:next w:val="Normal"/>
    <w:link w:val="IntenseQuoteCh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BodyText"/>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Heading">
    <w:name w:val="index heading"/>
    <w:basedOn w:val="Heading1"/>
    <w:autoRedefine/>
  </w:style>
  <w:style w:type="paragraph" w:styleId="TableofAuthorities">
    <w:name w:val="table of authorities"/>
    <w:basedOn w:val="Heading1"/>
    <w:autoRedefine/>
    <w:pPr>
      <w:suppressLineNumbers/>
    </w:pPr>
  </w:style>
  <w:style w:type="paragraph" w:styleId="Closing">
    <w:name w:val="Closing"/>
    <w:basedOn w:val="berschrift"/>
    <w:next w:val="BodyText"/>
    <w:qFormat/>
    <w:pPr>
      <w:jc w:val="center"/>
    </w:pPr>
    <w:rPr>
      <w:bCs/>
      <w:szCs w:val="32"/>
    </w:rPr>
  </w:style>
  <w:style w:type="paragraph" w:styleId="TOCHeading">
    <w:name w:val="TOC Heading"/>
    <w:basedOn w:val="IndexHeading"/>
  </w:style>
  <w:style w:type="paragraph" w:customStyle="1" w:styleId="Abbildungsindexberschriften">
    <w:name w:val="Abbildungsindex Überschriften"/>
    <w:basedOn w:val="IndexHeading"/>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BalloonText">
    <w:name w:val="Balloon Text"/>
    <w:basedOn w:val="Normal"/>
    <w:link w:val="BalloonTextChar"/>
    <w:qFormat/>
    <w:pPr>
      <w:spacing w:before="0" w:line="240" w:lineRule="auto"/>
    </w:pPr>
    <w:rPr>
      <w:rFonts w:ascii="Tahoma" w:hAnsi="Tahoma"/>
      <w:sz w:val="16"/>
      <w:szCs w:val="16"/>
    </w:rPr>
  </w:style>
  <w:style w:type="table" w:styleId="TableGrid">
    <w:name w:val="Table Grid"/>
    <w:basedOn w:val="TableNormal"/>
    <w:uiPriority w:val="39"/>
    <w:rsid w:val="00523E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753</Words>
  <Characters>4195</Characters>
  <Application>Microsoft Office Word</Application>
  <DocSecurity>0</DocSecurity>
  <Lines>89</Lines>
  <Paragraphs>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Pius ten Hacken</cp:lastModifiedBy>
  <cp:revision>5</cp:revision>
  <cp:lastPrinted>2023-03-11T11:57:00Z</cp:lastPrinted>
  <dcterms:created xsi:type="dcterms:W3CDTF">2023-05-03T06:43:00Z</dcterms:created>
  <dcterms:modified xsi:type="dcterms:W3CDTF">2023-05-03T07:07:00Z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