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181E" w:rsidRDefault="00381DA9">
      <w:pPr>
        <w:pStyle w:val="Author"/>
      </w:pPr>
      <w:r>
        <w:t>Janusz Taborek</w:t>
      </w:r>
    </w:p>
    <w:p w:rsidR="00AB181E" w:rsidRDefault="00381DA9">
      <w:pPr>
        <w:pStyle w:val="Tytu"/>
      </w:pPr>
      <w:r w:rsidRPr="00381DA9">
        <w:t>A model of corpus-based co-occurrence contrastive analysis</w:t>
      </w:r>
    </w:p>
    <w:p w:rsidR="00AB181E" w:rsidRDefault="00381DA9">
      <w:pPr>
        <w:pStyle w:val="Podtytu"/>
      </w:pPr>
      <w:r w:rsidRPr="00381DA9">
        <w:t>Case study of light verb construction in German and Polish</w:t>
      </w:r>
    </w:p>
    <w:p w:rsidR="00AB181E" w:rsidRDefault="00224AA6">
      <w:pPr>
        <w:pStyle w:val="Keywords"/>
        <w:jc w:val="left"/>
      </w:pPr>
      <w:r>
        <w:rPr>
          <w:b/>
          <w:szCs w:val="20"/>
        </w:rPr>
        <w:t>Keywords:</w:t>
      </w:r>
      <w:r>
        <w:rPr>
          <w:szCs w:val="20"/>
        </w:rPr>
        <w:t xml:space="preserve"> </w:t>
      </w:r>
      <w:r w:rsidR="00381DA9">
        <w:rPr>
          <w:szCs w:val="20"/>
        </w:rPr>
        <w:t>contrastive linguistics</w:t>
      </w:r>
      <w:r>
        <w:rPr>
          <w:szCs w:val="20"/>
        </w:rPr>
        <w:t>;</w:t>
      </w:r>
      <w:r w:rsidR="00381DA9">
        <w:rPr>
          <w:szCs w:val="20"/>
        </w:rPr>
        <w:t xml:space="preserve"> light verb construction; </w:t>
      </w:r>
      <w:r w:rsidR="008746EF">
        <w:rPr>
          <w:szCs w:val="20"/>
        </w:rPr>
        <w:t>co-occur</w:t>
      </w:r>
      <w:r w:rsidR="00A821F1">
        <w:rPr>
          <w:szCs w:val="20"/>
        </w:rPr>
        <w:t>rence</w:t>
      </w:r>
    </w:p>
    <w:p w:rsidR="00381DA9" w:rsidRDefault="00381DA9" w:rsidP="00381DA9">
      <w:r>
        <w:t>Research question. The objective of the proposed model is to establish the equivalence of phrases from two language systems (German and Polish) based on their setting, i.e. lexical setting, syntax, morphology and usage – “functional equivalence” (</w:t>
      </w:r>
      <w:proofErr w:type="spellStart"/>
      <w:r>
        <w:t>Dobrovol’skij</w:t>
      </w:r>
      <w:proofErr w:type="spellEnd"/>
      <w:r>
        <w:t xml:space="preserve"> 2015, </w:t>
      </w:r>
      <w:r>
        <w:t xml:space="preserve">p. </w:t>
      </w:r>
      <w:r>
        <w:t xml:space="preserve">277). The model allows determining syntagmatic patterns and patterns of use of </w:t>
      </w:r>
      <w:r w:rsidR="008D5ABA">
        <w:t>analysed</w:t>
      </w:r>
      <w:r>
        <w:t xml:space="preserve"> units, which on the one hand serve to establish functional equivalence, and on the other hand, they constitute complete linguistic material to be used in teaching and lexicography. </w:t>
      </w:r>
    </w:p>
    <w:p w:rsidR="008D5ABA" w:rsidRDefault="008D5ABA" w:rsidP="00381DA9">
      <w:r>
        <w:rPr>
          <w:noProof/>
        </w:rPr>
        <w:drawing>
          <wp:anchor distT="0" distB="0" distL="114300" distR="114300" simplePos="0" relativeHeight="251658240" behindDoc="0" locked="0" layoutInCell="1" allowOverlap="1" wp14:anchorId="28BED964">
            <wp:simplePos x="0" y="0"/>
            <wp:positionH relativeFrom="column">
              <wp:posOffset>12407</wp:posOffset>
            </wp:positionH>
            <wp:positionV relativeFrom="paragraph">
              <wp:posOffset>396240</wp:posOffset>
            </wp:positionV>
            <wp:extent cx="5184140" cy="3151292"/>
            <wp:effectExtent l="0" t="0" r="0" b="0"/>
            <wp:wrapTopAndBottom/>
            <wp:docPr id="2" name="Obraz 2"/>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7">
                      <a:extLst>
                        <a:ext uri="{28A0092B-C50C-407E-A947-70E740481C1C}">
                          <a14:useLocalDpi xmlns:a14="http://schemas.microsoft.com/office/drawing/2010/main" val="0"/>
                        </a:ext>
                      </a:extLst>
                    </a:blip>
                    <a:stretch>
                      <a:fillRect/>
                    </a:stretch>
                  </pic:blipFill>
                  <pic:spPr>
                    <a:xfrm>
                      <a:off x="0" y="0"/>
                      <a:ext cx="5184140" cy="3151292"/>
                    </a:xfrm>
                    <a:prstGeom prst="rect">
                      <a:avLst/>
                    </a:prstGeom>
                  </pic:spPr>
                </pic:pic>
              </a:graphicData>
            </a:graphic>
          </wp:anchor>
        </w:drawing>
      </w:r>
      <w:r w:rsidR="00381DA9">
        <w:t xml:space="preserve">Method and results. The model (Taborek 2018) involves three principal stages of analysis: </w:t>
      </w:r>
    </w:p>
    <w:p w:rsidR="008D5ABA" w:rsidRDefault="008D5ABA" w:rsidP="008D5ABA">
      <w:pPr>
        <w:pStyle w:val="Legenda"/>
      </w:pPr>
      <w:r>
        <w:t xml:space="preserve">Fig. 1: </w:t>
      </w:r>
      <w:r w:rsidRPr="008D5ABA">
        <w:t>A model of corpus-based co-occurrence contrastive analysis</w:t>
      </w:r>
      <w:r>
        <w:t xml:space="preserve"> (Taborek 2018, p. 140)</w:t>
      </w:r>
    </w:p>
    <w:p w:rsidR="00381DA9" w:rsidRDefault="00381DA9" w:rsidP="00381DA9">
      <w:r>
        <w:t>a)</w:t>
      </w:r>
      <w:r>
        <w:t xml:space="preserve"> </w:t>
      </w:r>
      <w:r>
        <w:t xml:space="preserve">The first stage involves the analysis of source units (light verb constructions) based on data from monolingual corpora. The analysis based on finding co-occurrences with the highest frequency rate (cf. Steyer 2013). The list of co-occurrences is subjected to linguistic analysis and categorization, which involve word classes, syntactic functions, and semantic distinction. For the German light verb construction </w:t>
      </w:r>
      <w:r w:rsidRPr="0000779F">
        <w:rPr>
          <w:i/>
        </w:rPr>
        <w:t xml:space="preserve">in </w:t>
      </w:r>
      <w:proofErr w:type="spellStart"/>
      <w:r w:rsidRPr="0000779F">
        <w:rPr>
          <w:i/>
        </w:rPr>
        <w:t>Vergessenheit</w:t>
      </w:r>
      <w:proofErr w:type="spellEnd"/>
      <w:r w:rsidRPr="0000779F">
        <w:rPr>
          <w:i/>
        </w:rPr>
        <w:t xml:space="preserve"> </w:t>
      </w:r>
      <w:proofErr w:type="spellStart"/>
      <w:r w:rsidRPr="0000779F">
        <w:rPr>
          <w:i/>
        </w:rPr>
        <w:t>geraten</w:t>
      </w:r>
      <w:proofErr w:type="spellEnd"/>
      <w:r>
        <w:t xml:space="preserve"> ‘fall into oblivion’ the most frequent co-occurrences – </w:t>
      </w:r>
      <w:r w:rsidRPr="0000779F">
        <w:rPr>
          <w:i/>
        </w:rPr>
        <w:t>fast</w:t>
      </w:r>
      <w:r>
        <w:t xml:space="preserve"> ‘almost’, </w:t>
      </w:r>
      <w:r w:rsidRPr="0000779F">
        <w:rPr>
          <w:i/>
        </w:rPr>
        <w:t>schnell</w:t>
      </w:r>
      <w:r>
        <w:t xml:space="preserve"> ‘quickly’, </w:t>
      </w:r>
      <w:proofErr w:type="spellStart"/>
      <w:r w:rsidRPr="0000779F">
        <w:rPr>
          <w:i/>
        </w:rPr>
        <w:t>zu</w:t>
      </w:r>
      <w:proofErr w:type="spellEnd"/>
      <w:r w:rsidRPr="0000779F">
        <w:rPr>
          <w:i/>
        </w:rPr>
        <w:t xml:space="preserve"> </w:t>
      </w:r>
      <w:proofErr w:type="spellStart"/>
      <w:r w:rsidRPr="0000779F">
        <w:rPr>
          <w:i/>
        </w:rPr>
        <w:t>Unrecht</w:t>
      </w:r>
      <w:proofErr w:type="spellEnd"/>
      <w:r>
        <w:t xml:space="preserve"> ‘wrongly’, </w:t>
      </w:r>
      <w:proofErr w:type="spellStart"/>
      <w:r w:rsidRPr="0000779F">
        <w:rPr>
          <w:i/>
        </w:rPr>
        <w:lastRenderedPageBreak/>
        <w:t>Brauch</w:t>
      </w:r>
      <w:proofErr w:type="spellEnd"/>
      <w:r>
        <w:t xml:space="preserve"> ‘custom’ are arranged morphologically and syntactically. Then within syntactic functions, items are semantically classified, in which adverbial co-occurrences express time (</w:t>
      </w:r>
      <w:r w:rsidRPr="0000779F">
        <w:rPr>
          <w:i/>
        </w:rPr>
        <w:t>schnell</w:t>
      </w:r>
      <w:r>
        <w:t>), degree (</w:t>
      </w:r>
      <w:r w:rsidRPr="0000779F">
        <w:rPr>
          <w:i/>
        </w:rPr>
        <w:t>fast</w:t>
      </w:r>
      <w:r>
        <w:t>) and valuation (</w:t>
      </w:r>
      <w:proofErr w:type="spellStart"/>
      <w:r w:rsidRPr="0000779F">
        <w:rPr>
          <w:i/>
        </w:rPr>
        <w:t>zu</w:t>
      </w:r>
      <w:proofErr w:type="spellEnd"/>
      <w:r w:rsidRPr="0000779F">
        <w:rPr>
          <w:i/>
        </w:rPr>
        <w:t xml:space="preserve"> </w:t>
      </w:r>
      <w:proofErr w:type="spellStart"/>
      <w:r w:rsidRPr="0000779F">
        <w:rPr>
          <w:i/>
        </w:rPr>
        <w:t>Unrecht</w:t>
      </w:r>
      <w:proofErr w:type="spellEnd"/>
      <w:r>
        <w:t xml:space="preserve">). Arranging co-occurrences according to their syntactic function makes it possible to establish the “syntagmatic pattern” (Steyer 2013), e.g. SUB + </w:t>
      </w:r>
      <w:proofErr w:type="spellStart"/>
      <w:r w:rsidRPr="0000779F">
        <w:rPr>
          <w:i/>
        </w:rPr>
        <w:t>gerät</w:t>
      </w:r>
      <w:proofErr w:type="spellEnd"/>
      <w:r>
        <w:t xml:space="preserve"> + (ADV) + </w:t>
      </w:r>
      <w:r w:rsidRPr="0000779F">
        <w:rPr>
          <w:i/>
        </w:rPr>
        <w:t xml:space="preserve">in </w:t>
      </w:r>
      <w:proofErr w:type="spellStart"/>
      <w:r w:rsidRPr="0000779F">
        <w:rPr>
          <w:i/>
        </w:rPr>
        <w:t>Vergessenheit</w:t>
      </w:r>
      <w:proofErr w:type="spellEnd"/>
      <w:r>
        <w:t>. The next stage of generalization consists in replacing syntactic functions with variables X,Y,Z, etc., which makes it possible to establish three pattern (</w:t>
      </w:r>
      <w:proofErr w:type="spellStart"/>
      <w:r>
        <w:t>Hunston</w:t>
      </w:r>
      <w:proofErr w:type="spellEnd"/>
      <w:r>
        <w:t xml:space="preserve">/Francis 1999) X </w:t>
      </w:r>
      <w:proofErr w:type="spellStart"/>
      <w:r w:rsidRPr="0000779F">
        <w:rPr>
          <w:i/>
        </w:rPr>
        <w:t>gerät</w:t>
      </w:r>
      <w:proofErr w:type="spellEnd"/>
      <w:r>
        <w:t xml:space="preserve"> ADV </w:t>
      </w:r>
      <w:r w:rsidRPr="0000779F">
        <w:rPr>
          <w:i/>
        </w:rPr>
        <w:t xml:space="preserve">in </w:t>
      </w:r>
      <w:proofErr w:type="spellStart"/>
      <w:r w:rsidRPr="0000779F">
        <w:rPr>
          <w:i/>
        </w:rPr>
        <w:t>Vergessenheit</w:t>
      </w:r>
      <w:proofErr w:type="spellEnd"/>
      <w:r>
        <w:t xml:space="preserve">, X </w:t>
      </w:r>
      <w:proofErr w:type="spellStart"/>
      <w:r w:rsidRPr="0000779F">
        <w:rPr>
          <w:i/>
        </w:rPr>
        <w:t>gerät</w:t>
      </w:r>
      <w:proofErr w:type="spellEnd"/>
      <w:r>
        <w:t xml:space="preserve"> ADV </w:t>
      </w:r>
      <w:r w:rsidRPr="0000779F">
        <w:rPr>
          <w:i/>
        </w:rPr>
        <w:t xml:space="preserve">in </w:t>
      </w:r>
      <w:proofErr w:type="spellStart"/>
      <w:r w:rsidRPr="0000779F">
        <w:rPr>
          <w:i/>
        </w:rPr>
        <w:t>Vergessenheit</w:t>
      </w:r>
      <w:proofErr w:type="spellEnd"/>
      <w:r w:rsidRPr="0000779F">
        <w:rPr>
          <w:i/>
        </w:rPr>
        <w:t xml:space="preserve"> und </w:t>
      </w:r>
      <w:proofErr w:type="spellStart"/>
      <w:r w:rsidRPr="0000779F">
        <w:rPr>
          <w:i/>
        </w:rPr>
        <w:t>wird</w:t>
      </w:r>
      <w:proofErr w:type="spellEnd"/>
      <w:r w:rsidRPr="0000779F">
        <w:rPr>
          <w:i/>
        </w:rPr>
        <w:t xml:space="preserve"> </w:t>
      </w:r>
      <w:proofErr w:type="spellStart"/>
      <w:r w:rsidRPr="0000779F">
        <w:rPr>
          <w:i/>
        </w:rPr>
        <w:t>wieder</w:t>
      </w:r>
      <w:proofErr w:type="spellEnd"/>
      <w:r w:rsidRPr="0000779F">
        <w:rPr>
          <w:i/>
        </w:rPr>
        <w:t xml:space="preserve"> </w:t>
      </w:r>
      <w:proofErr w:type="spellStart"/>
      <w:r w:rsidRPr="0000779F">
        <w:rPr>
          <w:i/>
        </w:rPr>
        <w:t>entdeckt</w:t>
      </w:r>
      <w:proofErr w:type="spellEnd"/>
      <w:r>
        <w:t xml:space="preserve">, and X </w:t>
      </w:r>
      <w:proofErr w:type="spellStart"/>
      <w:r w:rsidRPr="0000779F">
        <w:rPr>
          <w:i/>
        </w:rPr>
        <w:t>droht</w:t>
      </w:r>
      <w:proofErr w:type="spellEnd"/>
      <w:r w:rsidRPr="0000779F">
        <w:rPr>
          <w:i/>
        </w:rPr>
        <w:t xml:space="preserve"> in </w:t>
      </w:r>
      <w:proofErr w:type="spellStart"/>
      <w:r w:rsidRPr="0000779F">
        <w:rPr>
          <w:i/>
        </w:rPr>
        <w:t>Vergessenheit</w:t>
      </w:r>
      <w:proofErr w:type="spellEnd"/>
      <w:r w:rsidRPr="0000779F">
        <w:rPr>
          <w:i/>
        </w:rPr>
        <w:t xml:space="preserve"> </w:t>
      </w:r>
      <w:proofErr w:type="spellStart"/>
      <w:r w:rsidRPr="0000779F">
        <w:rPr>
          <w:i/>
        </w:rPr>
        <w:t>zu</w:t>
      </w:r>
      <w:proofErr w:type="spellEnd"/>
      <w:r w:rsidRPr="0000779F">
        <w:rPr>
          <w:i/>
        </w:rPr>
        <w:t xml:space="preserve"> </w:t>
      </w:r>
      <w:proofErr w:type="spellStart"/>
      <w:r w:rsidRPr="0000779F">
        <w:rPr>
          <w:i/>
        </w:rPr>
        <w:t>geraten</w:t>
      </w:r>
      <w:proofErr w:type="spellEnd"/>
      <w:r>
        <w:t xml:space="preserve">.  </w:t>
      </w:r>
    </w:p>
    <w:p w:rsidR="00381DA9" w:rsidRDefault="00381DA9" w:rsidP="00381DA9">
      <w:r>
        <w:t>b)</w:t>
      </w:r>
      <w:r>
        <w:t xml:space="preserve"> </w:t>
      </w:r>
      <w:r>
        <w:t>The second stage of analysis consists in the identification of potential equivalents based on bilingual dictionaries, lexical bases, bilingual corpora, translation support tools and translation memories (</w:t>
      </w:r>
      <w:proofErr w:type="spellStart"/>
      <w:r>
        <w:t>Mellado</w:t>
      </w:r>
      <w:proofErr w:type="spellEnd"/>
      <w:r>
        <w:t xml:space="preserve"> Blanco 2019). The equivalents are subjected to verification based on objective, empirical and corpus-based methods.  </w:t>
      </w:r>
    </w:p>
    <w:p w:rsidR="00381DA9" w:rsidRDefault="00381DA9" w:rsidP="00381DA9">
      <w:r>
        <w:t>c)</w:t>
      </w:r>
      <w:r>
        <w:t xml:space="preserve"> </w:t>
      </w:r>
      <w:r>
        <w:t>The third stage is a corpus-based analysis of co-</w:t>
      </w:r>
      <w:proofErr w:type="spellStart"/>
      <w:r>
        <w:t>occurence</w:t>
      </w:r>
      <w:proofErr w:type="spellEnd"/>
      <w:r>
        <w:t xml:space="preserve"> of potential equivalents conducted in a similar way to the analysis of a source unit in a). Based on the data from monolingual corpora, a list of the most frequent co-occurrences is created. These co-occurrences are arranged morphologically, syntactically, semantically, and pragmatically. Further steps include the determination of syntagmatic patterns and patterns of use of potential equivalents in a similar manner to the analysis of source language units. </w:t>
      </w:r>
    </w:p>
    <w:p w:rsidR="00381DA9" w:rsidRDefault="00381DA9" w:rsidP="00381DA9">
      <w:r>
        <w:t>Then a source unit is compared and contrasted with potential equivalents of (</w:t>
      </w:r>
      <w:proofErr w:type="spellStart"/>
      <w:r>
        <w:t>i</w:t>
      </w:r>
      <w:proofErr w:type="spellEnd"/>
      <w:r>
        <w:t>) co-occur-</w:t>
      </w:r>
      <w:proofErr w:type="spellStart"/>
      <w:r>
        <w:t>rences</w:t>
      </w:r>
      <w:proofErr w:type="spellEnd"/>
      <w:r>
        <w:t xml:space="preserve">, (ii) syntagmatic patterns, and (iii) patterns of a source unit with co-occurrence, syntagmatic patterns and patterns of a potential equivalent. If co-occurrences, patterns and schemes display similarity, then it is possible to speak of functional equivalence, as defined by </w:t>
      </w:r>
      <w:proofErr w:type="spellStart"/>
      <w:r>
        <w:t>Dobrovol’skij</w:t>
      </w:r>
      <w:proofErr w:type="spellEnd"/>
      <w:r>
        <w:t xml:space="preserve"> (2015, </w:t>
      </w:r>
      <w:r w:rsidR="0000779F">
        <w:t xml:space="preserve">p. </w:t>
      </w:r>
      <w:r>
        <w:t xml:space="preserve">277). </w:t>
      </w:r>
    </w:p>
    <w:p w:rsidR="00381DA9" w:rsidRDefault="00381DA9">
      <w:r>
        <w:t xml:space="preserve">Short conclusions. A sample corpus-based analysis of the example </w:t>
      </w:r>
      <w:r w:rsidRPr="00A821F1">
        <w:rPr>
          <w:i/>
        </w:rPr>
        <w:t xml:space="preserve">in </w:t>
      </w:r>
      <w:proofErr w:type="spellStart"/>
      <w:r w:rsidRPr="00A821F1">
        <w:rPr>
          <w:i/>
        </w:rPr>
        <w:t>Vergessenheit</w:t>
      </w:r>
      <w:proofErr w:type="spellEnd"/>
      <w:r w:rsidRPr="00A821F1">
        <w:rPr>
          <w:i/>
        </w:rPr>
        <w:t xml:space="preserve"> </w:t>
      </w:r>
      <w:proofErr w:type="spellStart"/>
      <w:r w:rsidRPr="00A821F1">
        <w:rPr>
          <w:i/>
        </w:rPr>
        <w:t>geraten</w:t>
      </w:r>
      <w:proofErr w:type="spellEnd"/>
      <w:r>
        <w:t xml:space="preserve"> has found that its functional equivalent is </w:t>
      </w:r>
      <w:proofErr w:type="spellStart"/>
      <w:r w:rsidRPr="0000779F">
        <w:rPr>
          <w:i/>
        </w:rPr>
        <w:t>odchodzić</w:t>
      </w:r>
      <w:proofErr w:type="spellEnd"/>
      <w:r w:rsidRPr="0000779F">
        <w:rPr>
          <w:i/>
        </w:rPr>
        <w:t xml:space="preserve"> w </w:t>
      </w:r>
      <w:proofErr w:type="spellStart"/>
      <w:r w:rsidRPr="0000779F">
        <w:rPr>
          <w:i/>
        </w:rPr>
        <w:t>niepamięć</w:t>
      </w:r>
      <w:proofErr w:type="spellEnd"/>
      <w:r>
        <w:t>/</w:t>
      </w:r>
      <w:proofErr w:type="spellStart"/>
      <w:r w:rsidRPr="0000779F">
        <w:rPr>
          <w:i/>
        </w:rPr>
        <w:t>zapomnienie</w:t>
      </w:r>
      <w:proofErr w:type="spellEnd"/>
      <w:r>
        <w:t xml:space="preserve"> while lexicographic sources provide different equivalents, such as </w:t>
      </w:r>
      <w:proofErr w:type="spellStart"/>
      <w:r w:rsidRPr="0000779F">
        <w:rPr>
          <w:i/>
        </w:rPr>
        <w:t>iść</w:t>
      </w:r>
      <w:proofErr w:type="spellEnd"/>
      <w:r>
        <w:t xml:space="preserve"> (pf. </w:t>
      </w:r>
      <w:proofErr w:type="spellStart"/>
      <w:r w:rsidRPr="0000779F">
        <w:rPr>
          <w:i/>
        </w:rPr>
        <w:t>pójść</w:t>
      </w:r>
      <w:proofErr w:type="spellEnd"/>
      <w:r>
        <w:t>)/</w:t>
      </w:r>
      <w:proofErr w:type="spellStart"/>
      <w:r w:rsidRPr="0000779F">
        <w:rPr>
          <w:i/>
        </w:rPr>
        <w:t>popadać</w:t>
      </w:r>
      <w:proofErr w:type="spellEnd"/>
      <w:r>
        <w:t xml:space="preserve"> (pf. </w:t>
      </w:r>
      <w:proofErr w:type="spellStart"/>
      <w:r w:rsidRPr="0000779F">
        <w:rPr>
          <w:i/>
        </w:rPr>
        <w:t>popaść</w:t>
      </w:r>
      <w:proofErr w:type="spellEnd"/>
      <w:r>
        <w:t xml:space="preserve">) </w:t>
      </w:r>
      <w:r w:rsidRPr="0000779F">
        <w:rPr>
          <w:i/>
        </w:rPr>
        <w:t xml:space="preserve">w </w:t>
      </w:r>
      <w:proofErr w:type="spellStart"/>
      <w:r w:rsidRPr="0000779F">
        <w:rPr>
          <w:i/>
        </w:rPr>
        <w:t>niepamięć</w:t>
      </w:r>
      <w:proofErr w:type="spellEnd"/>
      <w:r w:rsidRPr="0000779F">
        <w:rPr>
          <w:i/>
        </w:rPr>
        <w:t>/</w:t>
      </w:r>
      <w:proofErr w:type="spellStart"/>
      <w:r w:rsidRPr="0000779F">
        <w:rPr>
          <w:i/>
        </w:rPr>
        <w:t>zapomnienie</w:t>
      </w:r>
      <w:proofErr w:type="spellEnd"/>
      <w:r>
        <w:t xml:space="preserve">. The results of sample analyses of light verb constructions show the need for applying co-occurrence that reflects the context of use as a tertium </w:t>
      </w:r>
      <w:proofErr w:type="spellStart"/>
      <w:r>
        <w:t>comparationis</w:t>
      </w:r>
      <w:proofErr w:type="spellEnd"/>
      <w:r>
        <w:t xml:space="preserve"> in order to determine functional equivalents, which, besides light verb constructions, can include both verbs, e.g. </w:t>
      </w:r>
      <w:r w:rsidRPr="00A821F1">
        <w:rPr>
          <w:i/>
        </w:rPr>
        <w:t>in</w:t>
      </w:r>
      <w:r>
        <w:t xml:space="preserve"> </w:t>
      </w:r>
      <w:proofErr w:type="spellStart"/>
      <w:r w:rsidRPr="0000779F">
        <w:rPr>
          <w:i/>
        </w:rPr>
        <w:t>Frage</w:t>
      </w:r>
      <w:proofErr w:type="spellEnd"/>
      <w:r w:rsidRPr="0000779F">
        <w:rPr>
          <w:i/>
        </w:rPr>
        <w:t xml:space="preserve"> </w:t>
      </w:r>
      <w:proofErr w:type="spellStart"/>
      <w:r w:rsidRPr="0000779F">
        <w:rPr>
          <w:i/>
        </w:rPr>
        <w:t>stell</w:t>
      </w:r>
      <w:bookmarkStart w:id="0" w:name="_GoBack"/>
      <w:bookmarkEnd w:id="0"/>
      <w:r w:rsidRPr="0000779F">
        <w:rPr>
          <w:i/>
        </w:rPr>
        <w:t>en</w:t>
      </w:r>
      <w:proofErr w:type="spellEnd"/>
      <w:r>
        <w:t xml:space="preserve"> – </w:t>
      </w:r>
      <w:proofErr w:type="spellStart"/>
      <w:r w:rsidRPr="0000779F">
        <w:rPr>
          <w:i/>
        </w:rPr>
        <w:t>kwestionować</w:t>
      </w:r>
      <w:proofErr w:type="spellEnd"/>
      <w:r>
        <w:t xml:space="preserve"> and prepositional phrases, e.g. </w:t>
      </w:r>
      <w:r w:rsidRPr="0000779F">
        <w:rPr>
          <w:i/>
        </w:rPr>
        <w:t>in</w:t>
      </w:r>
      <w:r>
        <w:t xml:space="preserve"> </w:t>
      </w:r>
      <w:r w:rsidRPr="0000779F">
        <w:rPr>
          <w:i/>
        </w:rPr>
        <w:t xml:space="preserve">Not </w:t>
      </w:r>
      <w:proofErr w:type="spellStart"/>
      <w:r w:rsidRPr="0000779F">
        <w:rPr>
          <w:i/>
        </w:rPr>
        <w:t>geraten</w:t>
      </w:r>
      <w:proofErr w:type="spellEnd"/>
      <w:r>
        <w:t>(</w:t>
      </w:r>
      <w:r w:rsidRPr="0000779F">
        <w:rPr>
          <w:i/>
        </w:rPr>
        <w:t>e</w:t>
      </w:r>
      <w:r>
        <w:t xml:space="preserve">) – </w:t>
      </w:r>
      <w:r w:rsidRPr="0000779F">
        <w:rPr>
          <w:i/>
        </w:rPr>
        <w:t xml:space="preserve">w </w:t>
      </w:r>
      <w:proofErr w:type="spellStart"/>
      <w:r w:rsidRPr="0000779F">
        <w:rPr>
          <w:i/>
        </w:rPr>
        <w:t>potrzebie</w:t>
      </w:r>
      <w:proofErr w:type="spellEnd"/>
      <w:r>
        <w:t>.</w:t>
      </w:r>
    </w:p>
    <w:p w:rsidR="00AB181E" w:rsidRDefault="00224AA6">
      <w:pPr>
        <w:pStyle w:val="Wykazrde"/>
      </w:pPr>
      <w:r>
        <w:t>References</w:t>
      </w:r>
    </w:p>
    <w:p w:rsidR="006C5433" w:rsidRDefault="006C5433" w:rsidP="006C5433">
      <w:pPr>
        <w:pStyle w:val="Literaturverzeichnis1"/>
        <w:ind w:left="397" w:hanging="397"/>
      </w:pPr>
      <w:proofErr w:type="spellStart"/>
      <w:r>
        <w:t>Dobrovol’skij</w:t>
      </w:r>
      <w:proofErr w:type="spellEnd"/>
      <w:r>
        <w:t xml:space="preserve">, </w:t>
      </w:r>
      <w:proofErr w:type="spellStart"/>
      <w:r>
        <w:t>D</w:t>
      </w:r>
      <w:r>
        <w:t>imitrij</w:t>
      </w:r>
      <w:proofErr w:type="spellEnd"/>
      <w:r>
        <w:t xml:space="preserve"> </w:t>
      </w:r>
      <w:r>
        <w:t>(</w:t>
      </w:r>
      <w:r>
        <w:t>2015</w:t>
      </w:r>
      <w:r>
        <w:t>):</w:t>
      </w:r>
      <w:r>
        <w:t xml:space="preserve"> Introduction. </w:t>
      </w:r>
      <w:r>
        <w:t xml:space="preserve">In: </w:t>
      </w:r>
      <w:r>
        <w:t>International Journal of Lexicography</w:t>
      </w:r>
      <w:r>
        <w:t>,</w:t>
      </w:r>
      <w:r>
        <w:t xml:space="preserve"> 28(3), </w:t>
      </w:r>
      <w:r>
        <w:t xml:space="preserve">pp. </w:t>
      </w:r>
      <w:r>
        <w:t>275–278.</w:t>
      </w:r>
    </w:p>
    <w:p w:rsidR="006C5433" w:rsidRPr="006C5433" w:rsidRDefault="006C5433" w:rsidP="006C5433">
      <w:pPr>
        <w:pStyle w:val="Literaturverzeichnis1"/>
        <w:ind w:left="397" w:hanging="397"/>
        <w:rPr>
          <w:lang w:val="de-DE"/>
        </w:rPr>
      </w:pPr>
      <w:proofErr w:type="spellStart"/>
      <w:r>
        <w:t>Hunston</w:t>
      </w:r>
      <w:proofErr w:type="spellEnd"/>
      <w:r>
        <w:t>, S</w:t>
      </w:r>
      <w:r>
        <w:t>usan</w:t>
      </w:r>
      <w:r>
        <w:t>/Francis, G</w:t>
      </w:r>
      <w:r>
        <w:t>ill</w:t>
      </w:r>
      <w:r>
        <w:t xml:space="preserve"> </w:t>
      </w:r>
      <w:r w:rsidR="00DF5CE9">
        <w:t>(</w:t>
      </w:r>
      <w:r>
        <w:t>2000</w:t>
      </w:r>
      <w:r w:rsidR="00DF5CE9">
        <w:t>):</w:t>
      </w:r>
      <w:r>
        <w:t xml:space="preserve"> Pattern Grammar: A Corpus-driven Approach to the Lexical Grammar of English. </w:t>
      </w:r>
      <w:r w:rsidRPr="006C5433">
        <w:rPr>
          <w:lang w:val="de-DE"/>
        </w:rPr>
        <w:t>Amsterdam/Philadelphia: Benjamins</w:t>
      </w:r>
    </w:p>
    <w:p w:rsidR="006C5433" w:rsidRPr="006C5433" w:rsidRDefault="006C5433" w:rsidP="006C5433">
      <w:pPr>
        <w:pStyle w:val="Literaturverzeichnis1"/>
        <w:ind w:left="397" w:hanging="397"/>
        <w:rPr>
          <w:lang w:val="de-DE"/>
        </w:rPr>
      </w:pPr>
      <w:proofErr w:type="spellStart"/>
      <w:r w:rsidRPr="006C5433">
        <w:rPr>
          <w:lang w:val="de-DE"/>
        </w:rPr>
        <w:t>Mellado</w:t>
      </w:r>
      <w:proofErr w:type="spellEnd"/>
      <w:r w:rsidRPr="006C5433">
        <w:rPr>
          <w:lang w:val="de-DE"/>
        </w:rPr>
        <w:t xml:space="preserve"> Blanco, C</w:t>
      </w:r>
      <w:r>
        <w:rPr>
          <w:lang w:val="de-DE"/>
        </w:rPr>
        <w:t>armen</w:t>
      </w:r>
      <w:r w:rsidRPr="006C5433">
        <w:rPr>
          <w:lang w:val="de-DE"/>
        </w:rPr>
        <w:t xml:space="preserve"> </w:t>
      </w:r>
      <w:r>
        <w:rPr>
          <w:lang w:val="de-DE"/>
        </w:rPr>
        <w:t>(</w:t>
      </w:r>
      <w:r w:rsidRPr="006C5433">
        <w:rPr>
          <w:lang w:val="de-DE"/>
        </w:rPr>
        <w:t>2019</w:t>
      </w:r>
      <w:r>
        <w:rPr>
          <w:lang w:val="de-DE"/>
        </w:rPr>
        <w:t>):</w:t>
      </w:r>
      <w:r w:rsidRPr="006C5433">
        <w:rPr>
          <w:lang w:val="de-DE"/>
        </w:rPr>
        <w:t xml:space="preserve"> </w:t>
      </w:r>
      <w:proofErr w:type="spellStart"/>
      <w:r w:rsidRPr="006C5433">
        <w:rPr>
          <w:lang w:val="de-DE"/>
        </w:rPr>
        <w:t>Phrasem</w:t>
      </w:r>
      <w:proofErr w:type="spellEnd"/>
      <w:r w:rsidRPr="006C5433">
        <w:rPr>
          <w:lang w:val="de-DE"/>
        </w:rPr>
        <w:t xml:space="preserve">-Konstruktionen kontrastiv Deutsch–Spanisch: ein </w:t>
      </w:r>
      <w:proofErr w:type="spellStart"/>
      <w:r w:rsidRPr="006C5433">
        <w:rPr>
          <w:lang w:val="de-DE"/>
        </w:rPr>
        <w:t>korpusbasiertes</w:t>
      </w:r>
      <w:proofErr w:type="spellEnd"/>
      <w:r w:rsidRPr="006C5433">
        <w:rPr>
          <w:lang w:val="de-DE"/>
        </w:rPr>
        <w:t xml:space="preserve"> Beschreibungsmodell anhand ironischer Vergleiche. </w:t>
      </w:r>
      <w:r>
        <w:rPr>
          <w:lang w:val="de-DE"/>
        </w:rPr>
        <w:t xml:space="preserve">In: </w:t>
      </w:r>
      <w:r w:rsidRPr="006C5433">
        <w:rPr>
          <w:lang w:val="de-DE"/>
        </w:rPr>
        <w:t xml:space="preserve">Yearbook </w:t>
      </w:r>
      <w:proofErr w:type="spellStart"/>
      <w:r w:rsidRPr="006C5433">
        <w:rPr>
          <w:lang w:val="de-DE"/>
        </w:rPr>
        <w:t>of</w:t>
      </w:r>
      <w:proofErr w:type="spellEnd"/>
      <w:r w:rsidRPr="006C5433">
        <w:rPr>
          <w:lang w:val="de-DE"/>
        </w:rPr>
        <w:t xml:space="preserve"> </w:t>
      </w:r>
      <w:proofErr w:type="spellStart"/>
      <w:r w:rsidRPr="006C5433">
        <w:rPr>
          <w:lang w:val="de-DE"/>
        </w:rPr>
        <w:t>Phraseology</w:t>
      </w:r>
      <w:proofErr w:type="spellEnd"/>
      <w:r>
        <w:rPr>
          <w:lang w:val="de-DE"/>
        </w:rPr>
        <w:t>,</w:t>
      </w:r>
      <w:r w:rsidRPr="006C5433">
        <w:rPr>
          <w:lang w:val="de-DE"/>
        </w:rPr>
        <w:t xml:space="preserve"> 10</w:t>
      </w:r>
      <w:r>
        <w:rPr>
          <w:lang w:val="de-DE"/>
        </w:rPr>
        <w:t>,</w:t>
      </w:r>
      <w:r w:rsidRPr="006C5433">
        <w:rPr>
          <w:lang w:val="de-DE"/>
        </w:rPr>
        <w:t xml:space="preserve"> </w:t>
      </w:r>
      <w:r>
        <w:rPr>
          <w:lang w:val="de-DE"/>
        </w:rPr>
        <w:t xml:space="preserve">pp. </w:t>
      </w:r>
      <w:r w:rsidRPr="006C5433">
        <w:rPr>
          <w:lang w:val="de-DE"/>
        </w:rPr>
        <w:t>65–88.</w:t>
      </w:r>
    </w:p>
    <w:p w:rsidR="006C5433" w:rsidRPr="006C5433" w:rsidRDefault="006C5433" w:rsidP="006C5433">
      <w:pPr>
        <w:pStyle w:val="Literaturverzeichnis1"/>
        <w:ind w:left="397" w:hanging="397"/>
        <w:rPr>
          <w:lang w:val="de-DE"/>
        </w:rPr>
      </w:pPr>
      <w:proofErr w:type="spellStart"/>
      <w:r w:rsidRPr="006C5433">
        <w:rPr>
          <w:lang w:val="de-DE"/>
        </w:rPr>
        <w:t>Steyer</w:t>
      </w:r>
      <w:proofErr w:type="spellEnd"/>
      <w:r w:rsidRPr="006C5433">
        <w:rPr>
          <w:lang w:val="de-DE"/>
        </w:rPr>
        <w:t>, K</w:t>
      </w:r>
      <w:r>
        <w:rPr>
          <w:lang w:val="de-DE"/>
        </w:rPr>
        <w:t>atrin</w:t>
      </w:r>
      <w:r w:rsidRPr="006C5433">
        <w:rPr>
          <w:lang w:val="de-DE"/>
        </w:rPr>
        <w:t xml:space="preserve"> </w:t>
      </w:r>
      <w:r>
        <w:rPr>
          <w:lang w:val="de-DE"/>
        </w:rPr>
        <w:t>(</w:t>
      </w:r>
      <w:r w:rsidRPr="006C5433">
        <w:rPr>
          <w:lang w:val="de-DE"/>
        </w:rPr>
        <w:t>2013</w:t>
      </w:r>
      <w:r>
        <w:rPr>
          <w:lang w:val="de-DE"/>
        </w:rPr>
        <w:t>):</w:t>
      </w:r>
      <w:r w:rsidRPr="006C5433">
        <w:rPr>
          <w:lang w:val="de-DE"/>
        </w:rPr>
        <w:t xml:space="preserve"> Usuelle Wortverbindungen. Zentrale Muster des Sprachgebrauchs aus </w:t>
      </w:r>
      <w:proofErr w:type="spellStart"/>
      <w:r w:rsidRPr="006C5433">
        <w:rPr>
          <w:lang w:val="de-DE"/>
        </w:rPr>
        <w:t>korpusanalytischer</w:t>
      </w:r>
      <w:proofErr w:type="spellEnd"/>
      <w:r w:rsidRPr="006C5433">
        <w:rPr>
          <w:lang w:val="de-DE"/>
        </w:rPr>
        <w:t xml:space="preserve"> Sicht. </w:t>
      </w:r>
      <w:proofErr w:type="spellStart"/>
      <w:r w:rsidRPr="006C5433">
        <w:rPr>
          <w:lang w:val="de-DE"/>
        </w:rPr>
        <w:t>Tübingen</w:t>
      </w:r>
      <w:proofErr w:type="spellEnd"/>
      <w:r w:rsidRPr="006C5433">
        <w:rPr>
          <w:lang w:val="de-DE"/>
        </w:rPr>
        <w:t>: Narr.</w:t>
      </w:r>
    </w:p>
    <w:p w:rsidR="006C5433" w:rsidRPr="006C5433" w:rsidRDefault="006C5433" w:rsidP="006C5433">
      <w:pPr>
        <w:pStyle w:val="Literaturverzeichnis1"/>
        <w:ind w:left="397" w:hanging="397"/>
        <w:rPr>
          <w:lang w:val="de-DE"/>
        </w:rPr>
      </w:pPr>
      <w:r w:rsidRPr="006C5433">
        <w:rPr>
          <w:lang w:val="de-DE"/>
        </w:rPr>
        <w:t>Taborek, J</w:t>
      </w:r>
      <w:r>
        <w:rPr>
          <w:lang w:val="de-DE"/>
        </w:rPr>
        <w:t>anusz</w:t>
      </w:r>
      <w:r w:rsidRPr="006C5433">
        <w:rPr>
          <w:lang w:val="de-DE"/>
        </w:rPr>
        <w:t xml:space="preserve"> </w:t>
      </w:r>
      <w:r>
        <w:rPr>
          <w:lang w:val="de-DE"/>
        </w:rPr>
        <w:t>(</w:t>
      </w:r>
      <w:r w:rsidRPr="006C5433">
        <w:rPr>
          <w:lang w:val="de-DE"/>
        </w:rPr>
        <w:t>2018</w:t>
      </w:r>
      <w:r>
        <w:rPr>
          <w:lang w:val="de-DE"/>
        </w:rPr>
        <w:t>):</w:t>
      </w:r>
      <w:r w:rsidRPr="006C5433">
        <w:rPr>
          <w:lang w:val="de-DE"/>
        </w:rPr>
        <w:t xml:space="preserve"> </w:t>
      </w:r>
      <w:proofErr w:type="spellStart"/>
      <w:r w:rsidRPr="006C5433">
        <w:rPr>
          <w:lang w:val="de-DE"/>
        </w:rPr>
        <w:t>Korpusbasiertes</w:t>
      </w:r>
      <w:proofErr w:type="spellEnd"/>
      <w:r w:rsidRPr="006C5433">
        <w:rPr>
          <w:lang w:val="de-DE"/>
        </w:rPr>
        <w:t xml:space="preserve"> kontrastives Beschreibungsmodell für Funktionsverbgefüge. In: Schmale, Günter (</w:t>
      </w:r>
      <w:proofErr w:type="spellStart"/>
      <w:r w:rsidRPr="006C5433">
        <w:rPr>
          <w:lang w:val="de-DE"/>
        </w:rPr>
        <w:t>ed</w:t>
      </w:r>
      <w:proofErr w:type="spellEnd"/>
      <w:r w:rsidRPr="006C5433">
        <w:rPr>
          <w:lang w:val="de-DE"/>
        </w:rPr>
        <w:t xml:space="preserve">.): Lexematische und polylexematische Einheiten des Deutschen, Tübingen: </w:t>
      </w:r>
      <w:proofErr w:type="spellStart"/>
      <w:r w:rsidRPr="006C5433">
        <w:rPr>
          <w:lang w:val="de-DE"/>
        </w:rPr>
        <w:t>Stauffenburg</w:t>
      </w:r>
      <w:proofErr w:type="spellEnd"/>
      <w:r w:rsidRPr="006C5433">
        <w:rPr>
          <w:lang w:val="de-DE"/>
        </w:rPr>
        <w:t xml:space="preserve">, </w:t>
      </w:r>
      <w:r w:rsidR="008D5ABA">
        <w:rPr>
          <w:lang w:val="de-DE"/>
        </w:rPr>
        <w:t xml:space="preserve">pp. </w:t>
      </w:r>
      <w:r w:rsidRPr="006C5433">
        <w:rPr>
          <w:lang w:val="de-DE"/>
        </w:rPr>
        <w:t>135-154.</w:t>
      </w:r>
    </w:p>
    <w:p w:rsidR="00AB181E" w:rsidRDefault="00224AA6">
      <w:pPr>
        <w:pStyle w:val="Nagwek1"/>
      </w:pPr>
      <w:r>
        <w:lastRenderedPageBreak/>
        <w:t>Contact information</w:t>
      </w:r>
    </w:p>
    <w:p w:rsidR="00AB181E" w:rsidRPr="008D5ABA" w:rsidRDefault="00381DA9">
      <w:r w:rsidRPr="008D5ABA">
        <w:rPr>
          <w:rStyle w:val="Pogrubienie"/>
        </w:rPr>
        <w:t>Janusz Taborek</w:t>
      </w:r>
    </w:p>
    <w:p w:rsidR="00AB181E" w:rsidRPr="008D5ABA" w:rsidRDefault="00381DA9">
      <w:r w:rsidRPr="008D5ABA">
        <w:t xml:space="preserve">Adam Mickiewicz University, </w:t>
      </w:r>
      <w:proofErr w:type="spellStart"/>
      <w:r w:rsidRPr="008D5ABA">
        <w:t>Poznań</w:t>
      </w:r>
      <w:proofErr w:type="spellEnd"/>
    </w:p>
    <w:p w:rsidR="00AB181E" w:rsidRPr="008D5ABA" w:rsidRDefault="00381DA9">
      <w:hyperlink r:id="rId8" w:history="1">
        <w:r w:rsidRPr="008D5ABA">
          <w:rPr>
            <w:rStyle w:val="Hipercze"/>
          </w:rPr>
          <w:t>taborek@amu.edu.pl</w:t>
        </w:r>
      </w:hyperlink>
      <w:r w:rsidRPr="008D5ABA">
        <w:rPr>
          <w:u w:color="000080"/>
        </w:rPr>
        <w:t xml:space="preserve"> </w:t>
      </w:r>
    </w:p>
    <w:p w:rsidR="00AB181E" w:rsidRPr="008D5ABA" w:rsidRDefault="00AB181E">
      <w:pPr>
        <w:pStyle w:val="Literaturverzeichnis1"/>
        <w:ind w:left="0" w:firstLine="0"/>
      </w:pPr>
    </w:p>
    <w:p w:rsidR="00AB181E" w:rsidRPr="008D5ABA" w:rsidRDefault="00AB181E">
      <w:pPr>
        <w:pStyle w:val="Literaturverzeichnis1"/>
        <w:ind w:left="0" w:firstLine="0"/>
      </w:pPr>
    </w:p>
    <w:sectPr w:rsidR="00AB181E" w:rsidRPr="008D5ABA">
      <w:headerReference w:type="default" r:id="rId9"/>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06F4" w:rsidRDefault="001A06F4">
      <w:pPr>
        <w:spacing w:before="0" w:line="240" w:lineRule="auto"/>
      </w:pPr>
      <w:r>
        <w:separator/>
      </w:r>
    </w:p>
  </w:endnote>
  <w:endnote w:type="continuationSeparator" w:id="0">
    <w:p w:rsidR="001A06F4" w:rsidRDefault="001A06F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embedRegular r:id="rId1" w:fontKey="{39F502B9-0921-49B4-8A87-F6FBE01C7744}"/>
    <w:embedBold r:id="rId2" w:fontKey="{1C94E75D-6640-42F4-98EE-C7C109DBB723}"/>
    <w:embedItalic r:id="rId3" w:fontKey="{C0BC0D90-7A26-404B-8A14-7083FC721B86}"/>
  </w:font>
  <w:font w:name="Tahoma">
    <w:panose1 w:val="020B0604030504040204"/>
    <w:charset w:val="EE"/>
    <w:family w:val="swiss"/>
    <w:pitch w:val="variable"/>
    <w:sig w:usb0="E1002EFF" w:usb1="C000605B" w:usb2="00000029" w:usb3="00000000" w:csb0="000101FF" w:csb1="00000000"/>
    <w:embedRegular r:id="rId4" w:fontKey="{DA48F636-9111-47E4-8497-4483EDA60512}"/>
    <w:embedBold r:id="rId5" w:fontKey="{14B8A530-3431-494E-ABD1-9606BE359CAB}"/>
    <w:embedItalic r:id="rId6" w:fontKey="{1F6152D9-3CDE-4B57-8AD0-12782E075E30}"/>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panose1 w:val="00000000000000000000"/>
    <w:charset w:val="00"/>
    <w:family w:val="swiss"/>
    <w:notTrueType/>
    <w:pitch w:val="variable"/>
    <w:sig w:usb0="600002FF" w:usb1="00000001"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7" w:fontKey="{DB2031E6-BEA6-444C-91AF-3073CD92795A}"/>
  </w:font>
  <w:font w:name="Liberation Sans">
    <w:altName w:val="Arial"/>
    <w:charset w:val="00"/>
    <w:family w:val="swiss"/>
    <w:pitch w:val="variable"/>
    <w:sig w:usb0="E0000AFF" w:usb1="500078FF" w:usb2="00000021" w:usb3="00000000" w:csb0="000001BF" w:csb1="00000000"/>
    <w:embedBold r:id="rId8" w:fontKey="{8226E913-8281-4DFF-80A6-EE911A11C826}"/>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9" w:fontKey="{4EA3B392-1B63-4260-823E-2DCA9543C5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81E" w:rsidRDefault="00224AA6" w:rsidP="00694682">
    <w:pPr>
      <w:pStyle w:val="Stopka"/>
      <w:jc w:val="right"/>
    </w:pPr>
    <w:r>
      <w:rPr>
        <w:rStyle w:val="Numerstrony"/>
        <w:rFonts w:cs="Libertinus Serif"/>
      </w:rPr>
      <w:fldChar w:fldCharType="begin"/>
    </w:r>
    <w:r>
      <w:rPr>
        <w:rStyle w:val="Numerstrony"/>
        <w:rFonts w:cs="Libertinus Serif"/>
      </w:rPr>
      <w:instrText xml:space="preserve"> PAGE </w:instrText>
    </w:r>
    <w:r>
      <w:rPr>
        <w:rStyle w:val="Numerstrony"/>
        <w:rFonts w:cs="Libertinus Serif"/>
      </w:rPr>
      <w:fldChar w:fldCharType="separate"/>
    </w:r>
    <w:r w:rsidR="004C5262">
      <w:rPr>
        <w:rStyle w:val="Numerstrony"/>
        <w:rFonts w:cs="Libertinus Serif"/>
        <w:noProof/>
      </w:rPr>
      <w:t>3</w:t>
    </w:r>
    <w:r>
      <w:rPr>
        <w:rStyle w:val="Numerstrony"/>
        <w:rFonts w:cs="Libertinus Serif"/>
      </w:rPr>
      <w:fldChar w:fldCharType="end"/>
    </w:r>
  </w:p>
  <w:p w:rsidR="00AB181E" w:rsidRDefault="00AB181E">
    <w:pPr>
      <w:pStyle w:val="Stopka"/>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06F4" w:rsidRDefault="001A06F4">
      <w:pPr>
        <w:rPr>
          <w:sz w:val="12"/>
        </w:rPr>
      </w:pPr>
      <w:r>
        <w:separator/>
      </w:r>
    </w:p>
  </w:footnote>
  <w:footnote w:type="continuationSeparator" w:id="0">
    <w:p w:rsidR="001A06F4" w:rsidRDefault="001A06F4">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DA9" w:rsidRDefault="00381DA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0779F"/>
    <w:rsid w:val="000F11EC"/>
    <w:rsid w:val="001A06F4"/>
    <w:rsid w:val="002127C5"/>
    <w:rsid w:val="00224AA6"/>
    <w:rsid w:val="00227F60"/>
    <w:rsid w:val="00381DA9"/>
    <w:rsid w:val="004C5262"/>
    <w:rsid w:val="00694682"/>
    <w:rsid w:val="006C5433"/>
    <w:rsid w:val="00717483"/>
    <w:rsid w:val="008746EF"/>
    <w:rsid w:val="008D5ABA"/>
    <w:rsid w:val="009D4AD9"/>
    <w:rsid w:val="00A54BA3"/>
    <w:rsid w:val="00A821F1"/>
    <w:rsid w:val="00AB181E"/>
    <w:rsid w:val="00B22F8E"/>
    <w:rsid w:val="00C425D1"/>
    <w:rsid w:val="00CC744F"/>
    <w:rsid w:val="00DB1137"/>
    <w:rsid w:val="00DF5CE9"/>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BDC61"/>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uppressAutoHyphens w:val="0"/>
      <w:spacing w:before="113" w:line="280" w:lineRule="exact"/>
      <w:jc w:val="both"/>
    </w:pPr>
    <w:rPr>
      <w:rFonts w:ascii="Libertinus Serif" w:hAnsi="Libertinus Serif"/>
    </w:rPr>
  </w:style>
  <w:style w:type="paragraph" w:styleId="Nagwek1">
    <w:name w:val="heading 1"/>
    <w:basedOn w:val="Normalny"/>
    <w:next w:val="Normalny"/>
    <w:link w:val="Nagwek1Znak"/>
    <w:qFormat/>
    <w:pPr>
      <w:keepNext/>
      <w:keepLines/>
      <w:spacing w:before="340" w:after="113" w:line="360" w:lineRule="exact"/>
      <w:outlineLvl w:val="0"/>
    </w:pPr>
    <w:rPr>
      <w:rFonts w:ascii="Fira Sans" w:hAnsi="Fira Sans"/>
      <w:b/>
      <w:color w:val="4FAF4A"/>
      <w:sz w:val="28"/>
      <w:szCs w:val="32"/>
    </w:rPr>
  </w:style>
  <w:style w:type="paragraph" w:styleId="Nagwek2">
    <w:name w:val="heading 2"/>
    <w:basedOn w:val="Normalny"/>
    <w:next w:val="Normalny"/>
    <w:link w:val="Nagwek2Znak"/>
    <w:qFormat/>
    <w:pPr>
      <w:keepNext/>
      <w:keepLines/>
      <w:spacing w:before="340" w:after="113" w:line="340" w:lineRule="exact"/>
      <w:outlineLvl w:val="1"/>
    </w:pPr>
    <w:rPr>
      <w:rFonts w:ascii="Fira Sans" w:hAnsi="Fira Sans"/>
      <w:b/>
      <w:color w:val="4FAF4A"/>
      <w:sz w:val="26"/>
      <w:szCs w:val="26"/>
    </w:rPr>
  </w:style>
  <w:style w:type="paragraph" w:styleId="Nagwek3">
    <w:name w:val="heading 3"/>
    <w:basedOn w:val="Normalny"/>
    <w:next w:val="Normalny"/>
    <w:link w:val="Nagwek3Znak"/>
    <w:qFormat/>
    <w:pPr>
      <w:keepNext/>
      <w:keepLines/>
      <w:spacing w:before="227" w:after="113" w:line="320" w:lineRule="exact"/>
      <w:outlineLvl w:val="2"/>
    </w:pPr>
    <w:rPr>
      <w:rFonts w:ascii="Fira Sans" w:hAnsi="Fira Sans"/>
      <w:color w:val="4FAF4A"/>
      <w:sz w:val="24"/>
      <w:szCs w:val="24"/>
    </w:rPr>
  </w:style>
  <w:style w:type="paragraph" w:styleId="Nagwek4">
    <w:name w:val="heading 4"/>
    <w:basedOn w:val="Normalny"/>
    <w:next w:val="Normalny"/>
    <w:link w:val="Nagwek4Znak"/>
    <w:qFormat/>
    <w:pPr>
      <w:keepNext/>
      <w:keepLines/>
      <w:spacing w:before="227"/>
      <w:outlineLvl w:val="3"/>
    </w:pPr>
    <w:rPr>
      <w:rFonts w:ascii="Fira Sans" w:hAnsi="Fira Sans"/>
      <w:iCs/>
      <w:color w:val="4FAF4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Pr>
      <w:rFonts w:ascii="Fira Sans" w:eastAsia="Calibri" w:hAnsi="Fira Sans" w:cs="Tahoma"/>
      <w:b/>
      <w:color w:val="F79646"/>
      <w:sz w:val="28"/>
      <w:szCs w:val="32"/>
    </w:rPr>
  </w:style>
  <w:style w:type="character" w:customStyle="1" w:styleId="Nagwek2Znak">
    <w:name w:val="Nagłówek 2 Znak"/>
    <w:basedOn w:val="Domylnaczcionkaakapitu"/>
    <w:link w:val="Nagwek2"/>
    <w:qFormat/>
    <w:rPr>
      <w:rFonts w:ascii="Fira Sans" w:eastAsia="Calibri" w:hAnsi="Fira Sans" w:cs="Tahoma"/>
      <w:b/>
      <w:color w:val="F79646"/>
      <w:sz w:val="26"/>
      <w:szCs w:val="26"/>
    </w:rPr>
  </w:style>
  <w:style w:type="character" w:customStyle="1" w:styleId="Nagwek3Znak">
    <w:name w:val="Nagłówek 3 Znak"/>
    <w:basedOn w:val="Domylnaczcionkaakapitu"/>
    <w:link w:val="Nagwek3"/>
    <w:qFormat/>
    <w:rPr>
      <w:rFonts w:ascii="Fira Sans" w:eastAsia="Calibri" w:hAnsi="Fira Sans" w:cs="Tahoma"/>
      <w:color w:val="F79646"/>
      <w:sz w:val="24"/>
      <w:szCs w:val="24"/>
    </w:rPr>
  </w:style>
  <w:style w:type="character" w:customStyle="1" w:styleId="Nagwek4Znak">
    <w:name w:val="Nagłówek 4 Znak"/>
    <w:basedOn w:val="Domylnaczcionkaakapitu"/>
    <w:link w:val="Nagwek4"/>
    <w:qFormat/>
    <w:rPr>
      <w:rFonts w:ascii="Fira Sans" w:eastAsia="Calibri" w:hAnsi="Fira Sans" w:cs="Tahoma"/>
      <w:iCs/>
      <w:color w:val="F79646"/>
    </w:rPr>
  </w:style>
  <w:style w:type="character" w:customStyle="1" w:styleId="TytuZnak">
    <w:name w:val="Tytuł Znak"/>
    <w:basedOn w:val="Domylnaczcionkaakapitu"/>
    <w:link w:val="Tytu"/>
    <w:qFormat/>
    <w:rsid w:val="00227F60"/>
    <w:rPr>
      <w:rFonts w:ascii="Fira Sans" w:hAnsi="Fira Sans"/>
      <w:b/>
      <w:color w:val="4FAF4A"/>
      <w:sz w:val="38"/>
      <w:szCs w:val="56"/>
    </w:rPr>
  </w:style>
  <w:style w:type="character" w:styleId="Pogrubienie">
    <w:name w:val="Strong"/>
    <w:basedOn w:val="Domylnaczcionkaakapitu"/>
    <w:qFormat/>
    <w:rPr>
      <w:b/>
      <w:bCs/>
    </w:rPr>
  </w:style>
  <w:style w:type="character" w:styleId="Uwydatnienie">
    <w:name w:val="Emphasis"/>
    <w:basedOn w:val="Domylnaczcionkaakapitu"/>
    <w:qFormat/>
    <w:rPr>
      <w:i/>
      <w:iCs/>
    </w:rPr>
  </w:style>
  <w:style w:type="character" w:styleId="Wyrnienieintensywne">
    <w:name w:val="Intense Emphasis"/>
    <w:basedOn w:val="Domylnaczcionkaakapitu"/>
    <w:qFormat/>
    <w:rPr>
      <w:rFonts w:ascii="Libertinus Serif" w:hAnsi="Libertinus Serif"/>
      <w:b/>
      <w:bCs/>
      <w:i/>
      <w:iCs/>
      <w:color w:val="auto"/>
    </w:rPr>
  </w:style>
  <w:style w:type="character" w:customStyle="1" w:styleId="CytatZnak">
    <w:name w:val="Cytat Znak"/>
    <w:basedOn w:val="Domylnaczcionkaakapitu"/>
    <w:link w:val="Cytat"/>
    <w:qFormat/>
    <w:rPr>
      <w:rFonts w:ascii="Libertinus Serif" w:hAnsi="Libertinus Serif"/>
      <w:iCs/>
      <w:sz w:val="20"/>
    </w:rPr>
  </w:style>
  <w:style w:type="character" w:customStyle="1" w:styleId="PodtytuZnak">
    <w:name w:val="Podtytuł Znak"/>
    <w:basedOn w:val="Domylnaczcionkaakapitu"/>
    <w:link w:val="Podtytu"/>
    <w:qFormat/>
    <w:rsid w:val="004C5262"/>
    <w:rPr>
      <w:rFonts w:ascii="Fira Sans" w:hAnsi="Fira Sans"/>
      <w:b/>
      <w:color w:val="5A5A5A"/>
      <w:spacing w:val="16"/>
      <w:sz w:val="28"/>
    </w:rPr>
  </w:style>
  <w:style w:type="character" w:customStyle="1" w:styleId="NagwekZnak">
    <w:name w:val="Nagłówek Znak"/>
    <w:basedOn w:val="Domylnaczcionkaakapitu"/>
    <w:link w:val="Nagwek"/>
    <w:qFormat/>
    <w:rPr>
      <w:rFonts w:ascii="Times New Roman" w:hAnsi="Times New Roman"/>
      <w:sz w:val="24"/>
    </w:rPr>
  </w:style>
  <w:style w:type="character" w:customStyle="1" w:styleId="StopkaZnak">
    <w:name w:val="Stopka Znak"/>
    <w:basedOn w:val="Domylnaczcionkaakapitu"/>
    <w:link w:val="Stopka"/>
    <w:qFormat/>
    <w:rPr>
      <w:rFonts w:ascii="Times New Roman" w:hAnsi="Times New Roman"/>
      <w:sz w:val="24"/>
    </w:rPr>
  </w:style>
  <w:style w:type="character" w:customStyle="1" w:styleId="Funotenzeichen-Text">
    <w:name w:val="Fußnotenzeichen-Text"/>
    <w:qFormat/>
    <w:rPr>
      <w:vertAlign w:val="superscript"/>
    </w:rPr>
  </w:style>
  <w:style w:type="character" w:styleId="Hipercze">
    <w:name w:val="Hyperlink"/>
    <w:basedOn w:val="Domylnaczcionkaakapitu"/>
    <w:rPr>
      <w:color w:val="000080"/>
      <w:w w:val="100"/>
      <w:u w:val="thick" w:color="000080"/>
    </w:rPr>
  </w:style>
  <w:style w:type="character" w:styleId="Numerstrony">
    <w:name w:val="page number"/>
    <w:basedOn w:val="Domylnaczcionkaakapitu"/>
    <w:qFormat/>
  </w:style>
  <w:style w:type="character" w:customStyle="1" w:styleId="TekstprzypisudolnegoZnak">
    <w:name w:val="Tekst przypisu dolnego Znak"/>
    <w:basedOn w:val="Domylnaczcionkaakapitu"/>
    <w:link w:val="Tekstprzypisudolnego"/>
    <w:qFormat/>
    <w:rPr>
      <w:rFonts w:ascii="Times New Roman" w:hAnsi="Times New Roman"/>
      <w:sz w:val="20"/>
      <w:szCs w:val="20"/>
    </w:rPr>
  </w:style>
  <w:style w:type="character" w:customStyle="1" w:styleId="CytatintensywnyZnak">
    <w:name w:val="Cytat intensywny Znak"/>
    <w:basedOn w:val="Domylnaczcionkaakapitu"/>
    <w:link w:val="Cytatintensywny"/>
    <w:qFormat/>
    <w:rPr>
      <w:rFonts w:ascii="Libertinus Serif" w:hAnsi="Libertinus Serif"/>
      <w:bCs/>
      <w:sz w:val="20"/>
    </w:rPr>
  </w:style>
  <w:style w:type="character" w:customStyle="1" w:styleId="KapitlchenSmallCapital">
    <w:name w:val="Kapitälchen/Small Capital"/>
    <w:basedOn w:val="Domylnaczcionkaakapitu"/>
    <w:qFormat/>
    <w:rPr>
      <w:smallCaps/>
    </w:rPr>
  </w:style>
  <w:style w:type="character" w:customStyle="1" w:styleId="Aufzhlungszeichen1">
    <w:name w:val="Aufzählungszeichen1"/>
    <w:qFormat/>
    <w:rPr>
      <w:rFonts w:ascii="OpenSymbol" w:eastAsia="OpenSymbol" w:hAnsi="OpenSymbol" w:cs="OpenSymbol"/>
    </w:rPr>
  </w:style>
  <w:style w:type="character" w:styleId="Odwoanieprzypisudolnego">
    <w:name w:val="footnote reference"/>
    <w:rPr>
      <w:vertAlign w:val="superscript"/>
    </w:rPr>
  </w:style>
  <w:style w:type="character" w:styleId="Odwoanieprzypisukocowego">
    <w:name w:val="endnote reference"/>
    <w:rPr>
      <w:vertAlign w:val="superscript"/>
    </w:rPr>
  </w:style>
  <w:style w:type="character" w:customStyle="1" w:styleId="TekstdymkaZnak">
    <w:name w:val="Tekst dymka Znak"/>
    <w:basedOn w:val="Domylnaczcionkaakapitu"/>
    <w:link w:val="Tekstdymka"/>
    <w:qFormat/>
    <w:rPr>
      <w:rFonts w:ascii="Tahoma" w:hAnsi="Tahoma" w:cs="Tahoma"/>
      <w:sz w:val="16"/>
      <w:szCs w:val="16"/>
    </w:rPr>
  </w:style>
  <w:style w:type="paragraph" w:customStyle="1" w:styleId="berschrift">
    <w:name w:val="Überschrift"/>
    <w:basedOn w:val="Nagwek1"/>
    <w:next w:val="Tekstpodstawowy"/>
    <w:qFormat/>
    <w:pPr>
      <w:spacing w:before="240" w:after="120"/>
    </w:pPr>
    <w:rPr>
      <w:rFonts w:ascii="Liberation Sans" w:eastAsia="Noto Sans CJK SC" w:hAnsi="Liberation Sans" w:cs="Droid Sans Devanagari"/>
      <w:szCs w:val="28"/>
    </w:rPr>
  </w:style>
  <w:style w:type="paragraph" w:styleId="Tekstpodstawowy">
    <w:name w:val="Body Text"/>
    <w:basedOn w:val="Normalny"/>
    <w:pPr>
      <w:spacing w:before="0" w:after="140" w:line="276" w:lineRule="auto"/>
    </w:pPr>
  </w:style>
  <w:style w:type="paragraph" w:styleId="Lista">
    <w:name w:val="List"/>
    <w:basedOn w:val="Tekstpodstawowy"/>
    <w:rPr>
      <w:rFonts w:cs="Droid Sans Devanagari"/>
    </w:rPr>
  </w:style>
  <w:style w:type="paragraph" w:styleId="Legenda">
    <w:name w:val="caption"/>
    <w:basedOn w:val="Normalny"/>
    <w:qFormat/>
    <w:pPr>
      <w:suppressLineNumbers/>
      <w:spacing w:after="227" w:line="232" w:lineRule="exact"/>
    </w:pPr>
    <w:rPr>
      <w:rFonts w:cs="Droid Sans Devanagari"/>
      <w:iCs/>
      <w:sz w:val="19"/>
      <w:szCs w:val="24"/>
    </w:rPr>
  </w:style>
  <w:style w:type="paragraph" w:customStyle="1" w:styleId="Verzeichnis">
    <w:name w:val="Verzeichnis"/>
    <w:basedOn w:val="Normalny"/>
    <w:qFormat/>
    <w:pPr>
      <w:suppressLineNumbers/>
    </w:pPr>
    <w:rPr>
      <w:rFonts w:cs="Droid Sans Devanagari"/>
    </w:rPr>
  </w:style>
  <w:style w:type="paragraph" w:styleId="Tytu">
    <w:name w:val="Title"/>
    <w:basedOn w:val="Normalny"/>
    <w:next w:val="Normalny"/>
    <w:link w:val="TytuZnak"/>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ytat">
    <w:name w:val="Quote"/>
    <w:basedOn w:val="Normalny"/>
    <w:next w:val="Normalny"/>
    <w:link w:val="CytatZnak"/>
    <w:qFormat/>
    <w:pPr>
      <w:spacing w:line="250" w:lineRule="exact"/>
      <w:ind w:left="794" w:right="794"/>
    </w:pPr>
    <w:rPr>
      <w:iCs/>
      <w:sz w:val="20"/>
    </w:rPr>
  </w:style>
  <w:style w:type="paragraph" w:styleId="Podtytu">
    <w:name w:val="Subtitle"/>
    <w:basedOn w:val="Normalny"/>
    <w:next w:val="Normalny"/>
    <w:link w:val="PodtytuZnak"/>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ytu"/>
    <w:qFormat/>
    <w:pPr>
      <w:spacing w:before="0" w:line="340" w:lineRule="exact"/>
    </w:pPr>
    <w:rPr>
      <w:b w:val="0"/>
      <w:color w:val="auto"/>
      <w:sz w:val="26"/>
    </w:rPr>
  </w:style>
  <w:style w:type="paragraph" w:styleId="Akapitzlist">
    <w:name w:val="List Paragraph"/>
    <w:basedOn w:val="Normalny"/>
    <w:qFormat/>
    <w:pPr>
      <w:tabs>
        <w:tab w:val="left" w:pos="0"/>
      </w:tabs>
      <w:ind w:left="284" w:hanging="284"/>
      <w:contextualSpacing/>
    </w:pPr>
  </w:style>
  <w:style w:type="paragraph" w:customStyle="1" w:styleId="Example">
    <w:name w:val="Example"/>
    <w:basedOn w:val="Normalny"/>
    <w:qFormat/>
    <w:rsid w:val="00A54BA3"/>
    <w:pPr>
      <w:numPr>
        <w:numId w:val="3"/>
      </w:numPr>
      <w:spacing w:before="57" w:after="57" w:line="240" w:lineRule="exact"/>
      <w:ind w:left="454" w:hanging="454"/>
    </w:pPr>
    <w:rPr>
      <w:sz w:val="20"/>
    </w:rPr>
  </w:style>
  <w:style w:type="paragraph" w:customStyle="1" w:styleId="Kopf-undFuzeile">
    <w:name w:val="Kopf- und Fußzeile"/>
    <w:basedOn w:val="Normalny"/>
    <w:qFormat/>
  </w:style>
  <w:style w:type="paragraph" w:styleId="Nagwek">
    <w:name w:val="header"/>
    <w:basedOn w:val="Normalny"/>
    <w:link w:val="NagwekZnak"/>
    <w:pPr>
      <w:tabs>
        <w:tab w:val="center" w:pos="4536"/>
        <w:tab w:val="right" w:pos="9072"/>
      </w:tabs>
      <w:spacing w:before="0" w:line="240" w:lineRule="auto"/>
    </w:pPr>
  </w:style>
  <w:style w:type="paragraph" w:styleId="Stopka">
    <w:name w:val="footer"/>
    <w:basedOn w:val="Normalny"/>
    <w:link w:val="StopkaZnak"/>
    <w:pPr>
      <w:tabs>
        <w:tab w:val="center" w:pos="4536"/>
        <w:tab w:val="right" w:pos="9072"/>
      </w:tabs>
      <w:spacing w:before="0" w:line="240" w:lineRule="auto"/>
    </w:pPr>
  </w:style>
  <w:style w:type="paragraph" w:customStyle="1" w:styleId="FunoteFootnote">
    <w:name w:val="Fußnote/Footnote"/>
    <w:basedOn w:val="Tekstprzypisudolnego"/>
    <w:qFormat/>
    <w:pPr>
      <w:tabs>
        <w:tab w:val="left" w:pos="283"/>
      </w:tabs>
      <w:spacing w:line="230" w:lineRule="atLeast"/>
      <w:ind w:left="284" w:hanging="284"/>
      <w:textAlignment w:val="center"/>
    </w:pPr>
    <w:rPr>
      <w:rFonts w:cs="Times New Roman"/>
    </w:rPr>
  </w:style>
  <w:style w:type="paragraph" w:styleId="Tekstprzypisudolnego">
    <w:name w:val="footnote text"/>
    <w:basedOn w:val="Normalny"/>
    <w:link w:val="TekstprzypisudolnegoZnak"/>
    <w:pPr>
      <w:spacing w:before="0" w:line="232" w:lineRule="exact"/>
      <w:ind w:left="283" w:hanging="283"/>
    </w:pPr>
    <w:rPr>
      <w:sz w:val="19"/>
      <w:szCs w:val="20"/>
    </w:rPr>
  </w:style>
  <w:style w:type="paragraph" w:customStyle="1" w:styleId="Keywords">
    <w:name w:val="Keywords"/>
    <w:basedOn w:val="Normalny"/>
    <w:qFormat/>
    <w:rPr>
      <w:sz w:val="20"/>
    </w:rPr>
  </w:style>
  <w:style w:type="paragraph" w:styleId="Cytatintensywny">
    <w:name w:val="Intense Quote"/>
    <w:basedOn w:val="Cytat"/>
    <w:next w:val="Normalny"/>
    <w:link w:val="CytatintensywnyZnak"/>
    <w:qFormat/>
    <w:rPr>
      <w:bCs/>
      <w:iCs w:val="0"/>
    </w:rPr>
  </w:style>
  <w:style w:type="paragraph" w:customStyle="1" w:styleId="ReferenceEntry">
    <w:name w:val="Reference Entry"/>
    <w:basedOn w:val="Normalny"/>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kstpodstawowy"/>
    <w:qFormat/>
    <w:pPr>
      <w:spacing w:after="0"/>
      <w:ind w:left="283" w:hanging="283"/>
    </w:pPr>
  </w:style>
  <w:style w:type="paragraph" w:customStyle="1" w:styleId="Tabelleninhalt">
    <w:name w:val="Tabelleninhalt"/>
    <w:basedOn w:val="Normalny"/>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Nagwekindeksu">
    <w:name w:val="index heading"/>
    <w:basedOn w:val="Nagwek1"/>
    <w:autoRedefine/>
  </w:style>
  <w:style w:type="paragraph" w:styleId="Wykazrde">
    <w:name w:val="table of authorities"/>
    <w:basedOn w:val="Nagwek1"/>
    <w:autoRedefine/>
    <w:pPr>
      <w:suppressLineNumbers/>
    </w:pPr>
  </w:style>
  <w:style w:type="paragraph" w:styleId="Zwrotpoegnalny">
    <w:name w:val="Closing"/>
    <w:basedOn w:val="berschrift"/>
    <w:next w:val="Tekstpodstawowy"/>
    <w:qFormat/>
    <w:pPr>
      <w:jc w:val="center"/>
    </w:pPr>
    <w:rPr>
      <w:bCs/>
      <w:szCs w:val="32"/>
    </w:rPr>
  </w:style>
  <w:style w:type="paragraph" w:styleId="Nagwekspisutreci">
    <w:name w:val="TOC Heading"/>
    <w:basedOn w:val="Nagwekindeksu"/>
  </w:style>
  <w:style w:type="paragraph" w:customStyle="1" w:styleId="Abbildungsindexberschriften">
    <w:name w:val="Abbildungsindex Überschriften"/>
    <w:basedOn w:val="Nagwekindeksu"/>
    <w:qFormat/>
  </w:style>
  <w:style w:type="paragraph" w:customStyle="1" w:styleId="OLtext">
    <w:name w:val="OL text"/>
    <w:basedOn w:val="Normalny"/>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ny"/>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ny"/>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kstdymka">
    <w:name w:val="Balloon Text"/>
    <w:basedOn w:val="Normalny"/>
    <w:link w:val="TekstdymkaZnak"/>
    <w:qFormat/>
    <w:pPr>
      <w:spacing w:before="0" w:line="240" w:lineRule="auto"/>
    </w:pPr>
    <w:rPr>
      <w:rFonts w:ascii="Tahoma" w:hAnsi="Tahoma"/>
      <w:sz w:val="16"/>
      <w:szCs w:val="16"/>
    </w:rPr>
  </w:style>
  <w:style w:type="character" w:styleId="Nierozpoznanawzmianka">
    <w:name w:val="Unresolved Mention"/>
    <w:basedOn w:val="Domylnaczcionkaakapitu"/>
    <w:uiPriority w:val="99"/>
    <w:semiHidden/>
    <w:unhideWhenUsed/>
    <w:rsid w:val="00381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aborek@amu.edu.p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682</Words>
  <Characters>4399</Characters>
  <Application>Microsoft Office Word</Application>
  <DocSecurity>0</DocSecurity>
  <Lines>67</Lines>
  <Paragraphs>25</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Reviewer</cp:lastModifiedBy>
  <cp:revision>5</cp:revision>
  <cp:lastPrinted>2023-03-11T11:57:00Z</cp:lastPrinted>
  <dcterms:created xsi:type="dcterms:W3CDTF">2023-06-02T09:24:00Z</dcterms:created>
  <dcterms:modified xsi:type="dcterms:W3CDTF">2023-06-02T10:49:00Z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