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ADDE6" w14:textId="2F9223E2" w:rsidR="00AB181E" w:rsidRDefault="00D3434A">
      <w:pPr>
        <w:pStyle w:val="Author"/>
      </w:pPr>
      <w:r>
        <w:t>Adriano Murelli</w:t>
      </w:r>
    </w:p>
    <w:p w14:paraId="483FA495" w14:textId="6412D1DD" w:rsidR="00AB181E" w:rsidRDefault="00D3434A">
      <w:pPr>
        <w:pStyle w:val="Titolo"/>
      </w:pPr>
      <w:r>
        <w:t xml:space="preserve">Translating </w:t>
      </w:r>
      <w:proofErr w:type="spellStart"/>
      <w:r>
        <w:t>phraseologisms</w:t>
      </w:r>
      <w:proofErr w:type="spellEnd"/>
      <w:r>
        <w:t xml:space="preserve"> in comics</w:t>
      </w:r>
    </w:p>
    <w:p w14:paraId="4C99D4C6" w14:textId="5C4C2478" w:rsidR="00AB181E" w:rsidRDefault="00D3434A">
      <w:pPr>
        <w:pStyle w:val="Sottotitolo"/>
      </w:pPr>
      <w:r>
        <w:t>The example of an Asterix album</w:t>
      </w:r>
    </w:p>
    <w:p w14:paraId="4484984E" w14:textId="65D6A488" w:rsidR="00AB181E" w:rsidRDefault="00224AA6">
      <w:pPr>
        <w:pStyle w:val="Keywords"/>
        <w:jc w:val="left"/>
      </w:pPr>
      <w:r>
        <w:rPr>
          <w:b/>
          <w:szCs w:val="20"/>
        </w:rPr>
        <w:t>Keywords:</w:t>
      </w:r>
      <w:r>
        <w:rPr>
          <w:szCs w:val="20"/>
        </w:rPr>
        <w:t xml:space="preserve"> </w:t>
      </w:r>
      <w:proofErr w:type="spellStart"/>
      <w:r w:rsidR="00D3434A">
        <w:rPr>
          <w:szCs w:val="20"/>
        </w:rPr>
        <w:t>phraseologism</w:t>
      </w:r>
      <w:proofErr w:type="spellEnd"/>
      <w:r w:rsidR="00D3434A">
        <w:rPr>
          <w:szCs w:val="20"/>
        </w:rPr>
        <w:t>; translation; comics</w:t>
      </w:r>
    </w:p>
    <w:p w14:paraId="56B2CE10" w14:textId="276D4887" w:rsidR="00D3434A" w:rsidRDefault="00D3434A" w:rsidP="00D3434A">
      <w:r>
        <w:t xml:space="preserve">Translating </w:t>
      </w:r>
      <w:proofErr w:type="spellStart"/>
      <w:r>
        <w:t>phraseologisms</w:t>
      </w:r>
      <w:proofErr w:type="spellEnd"/>
      <w:r>
        <w:t xml:space="preserve"> in comic books may turn into a challenge: on the one side, equivalence between </w:t>
      </w:r>
      <w:proofErr w:type="spellStart"/>
      <w:r>
        <w:t>phraseologisms</w:t>
      </w:r>
      <w:proofErr w:type="spellEnd"/>
      <w:r>
        <w:t xml:space="preserve"> in different languages is not always given; on the other, comics creators may play with existing phraseological units to achieve special (con)textual effects (Korhonen 2004 and 2007, </w:t>
      </w:r>
      <w:proofErr w:type="spellStart"/>
      <w:r>
        <w:t>Kollner</w:t>
      </w:r>
      <w:proofErr w:type="spellEnd"/>
      <w:r>
        <w:t xml:space="preserve"> 2007). Additionally, in comics words and images are strongly interwoven and the language varieties used are typically close to the pole of conceptual orality (Fiedler 2004, Rodríguez </w:t>
      </w:r>
      <w:proofErr w:type="spellStart"/>
      <w:r>
        <w:t>Abella</w:t>
      </w:r>
      <w:proofErr w:type="spellEnd"/>
      <w:r>
        <w:t xml:space="preserve"> 2020): these factors, too, cannot be neglected in the translation process. </w:t>
      </w:r>
    </w:p>
    <w:p w14:paraId="2498307A" w14:textId="77777777" w:rsidR="00D3434A" w:rsidRDefault="00D3434A" w:rsidP="00D3434A">
      <w:r>
        <w:t xml:space="preserve">This contribution aims to examine which means and strategies translators can adopt when dealing with </w:t>
      </w:r>
      <w:proofErr w:type="spellStart"/>
      <w:r>
        <w:t>phraseologisms</w:t>
      </w:r>
      <w:proofErr w:type="spellEnd"/>
      <w:r>
        <w:t xml:space="preserve"> in comics. The Asterix volume “La rose et le glaive” in the original French (</w:t>
      </w:r>
      <w:proofErr w:type="spellStart"/>
      <w:r>
        <w:t>Uderzo</w:t>
      </w:r>
      <w:proofErr w:type="spellEnd"/>
      <w:r>
        <w:t xml:space="preserve"> 1991a) and its translations into Italian and German (</w:t>
      </w:r>
      <w:proofErr w:type="spellStart"/>
      <w:r>
        <w:t>Uderzo</w:t>
      </w:r>
      <w:proofErr w:type="spellEnd"/>
      <w:r>
        <w:t xml:space="preserve"> 1991b, 1991c) will serve as a database. Having been translated into several languages, Asterix albums lend themselves well to contrastive analyses, as the overview in </w:t>
      </w:r>
      <w:proofErr w:type="spellStart"/>
      <w:r>
        <w:t>Zanettin</w:t>
      </w:r>
      <w:proofErr w:type="spellEnd"/>
      <w:r>
        <w:t xml:space="preserve"> (2014) shows. However, investigations have rarely focused on </w:t>
      </w:r>
      <w:proofErr w:type="spellStart"/>
      <w:r>
        <w:t>phraseologisms</w:t>
      </w:r>
      <w:proofErr w:type="spellEnd"/>
      <w:r>
        <w:t xml:space="preserve"> so far – a gap that this contribution will try to fill.</w:t>
      </w:r>
    </w:p>
    <w:p w14:paraId="7D888B0A" w14:textId="349F46F2" w:rsidR="00D3434A" w:rsidRDefault="00D3434A" w:rsidP="00D3434A">
      <w:r>
        <w:t xml:space="preserve">The following steps were taken to examine </w:t>
      </w:r>
      <w:proofErr w:type="spellStart"/>
      <w:r>
        <w:t>phraseologisms</w:t>
      </w:r>
      <w:proofErr w:type="spellEnd"/>
      <w:r>
        <w:t xml:space="preserve"> and their translations: first, all phraseological units occurring in the original album and in the Italian and German translations were identified and classified according to the categories proposed by </w:t>
      </w:r>
      <w:proofErr w:type="spellStart"/>
      <w:r>
        <w:t>Kollner</w:t>
      </w:r>
      <w:proofErr w:type="spellEnd"/>
      <w:r>
        <w:t xml:space="preserve"> (2007) and </w:t>
      </w:r>
      <w:proofErr w:type="spellStart"/>
      <w:r>
        <w:t>Dobrovol’skij</w:t>
      </w:r>
      <w:proofErr w:type="spellEnd"/>
      <w:r>
        <w:t xml:space="preserve"> (2011), i.e., total, partial, and no equivalence; then, a quantitative and a qualitative analysis were conducted. From a quantitative perspective, it emerges that in most cases a total or partial equivalence is given</w:t>
      </w:r>
      <w:r>
        <w:t xml:space="preserve">; </w:t>
      </w:r>
      <w:proofErr w:type="spellStart"/>
      <w:r>
        <w:t>phraseologisms</w:t>
      </w:r>
      <w:proofErr w:type="spellEnd"/>
      <w:r>
        <w:t xml:space="preserve"> with no equivalence (about 10-15%) can be regarded as having been “compensated”: in the German and Italian translations phraseological units happen to occur in text passages in which the original French shows no </w:t>
      </w:r>
      <w:proofErr w:type="spellStart"/>
      <w:r>
        <w:t>phraseologism</w:t>
      </w:r>
      <w:proofErr w:type="spellEnd"/>
      <w:r>
        <w:t>.</w:t>
      </w:r>
    </w:p>
    <w:p w14:paraId="2FF26857" w14:textId="7A4AECD9" w:rsidR="00AB181E" w:rsidRDefault="00D3434A" w:rsidP="00D3434A">
      <w:r>
        <w:t xml:space="preserve">In the talk the results of the quantitative analysis will be presented in detail and single issues raised by the qualitative analysis will be discussed: this will lead to the conclusion that translating </w:t>
      </w:r>
      <w:proofErr w:type="spellStart"/>
      <w:r>
        <w:t>phraseologisms</w:t>
      </w:r>
      <w:proofErr w:type="spellEnd"/>
      <w:r>
        <w:t xml:space="preserve"> in comics requires a balancing act between the figurative and linguistic (con)text on the one side and the linguistic-cultural background of the potential readers on the other.</w:t>
      </w:r>
    </w:p>
    <w:p w14:paraId="11FEA330" w14:textId="77777777" w:rsidR="00AB181E" w:rsidRDefault="00224AA6">
      <w:pPr>
        <w:pStyle w:val="Indicefonti"/>
      </w:pPr>
      <w:r>
        <w:t>References</w:t>
      </w:r>
    </w:p>
    <w:p w14:paraId="4F872274" w14:textId="169B59C7" w:rsidR="00D3434A" w:rsidRPr="007F2846" w:rsidRDefault="00D3434A" w:rsidP="00D3434A">
      <w:pPr>
        <w:pStyle w:val="Literaturverzeichnis1"/>
        <w:ind w:left="397" w:hanging="397"/>
      </w:pPr>
      <w:proofErr w:type="spellStart"/>
      <w:r>
        <w:t>Dobrovol’skij</w:t>
      </w:r>
      <w:proofErr w:type="spellEnd"/>
      <w:r>
        <w:t xml:space="preserve"> </w:t>
      </w:r>
      <w:proofErr w:type="spellStart"/>
      <w:r>
        <w:t>Dmitrij</w:t>
      </w:r>
      <w:proofErr w:type="spellEnd"/>
      <w:r>
        <w:t xml:space="preserve">. 2011. </w:t>
      </w:r>
      <w:proofErr w:type="spellStart"/>
      <w:r w:rsidRPr="007F2846">
        <w:t>Sopostavitel’naja</w:t>
      </w:r>
      <w:proofErr w:type="spellEnd"/>
      <w:r w:rsidRPr="007F2846">
        <w:t xml:space="preserve"> </w:t>
      </w:r>
      <w:proofErr w:type="spellStart"/>
      <w:r w:rsidRPr="007F2846">
        <w:t>frazeologija</w:t>
      </w:r>
      <w:proofErr w:type="spellEnd"/>
      <w:r w:rsidRPr="007F2846">
        <w:t xml:space="preserve">: </w:t>
      </w:r>
      <w:proofErr w:type="spellStart"/>
      <w:proofErr w:type="gramStart"/>
      <w:r w:rsidRPr="007F2846">
        <w:t>mež”jazykovaja</w:t>
      </w:r>
      <w:proofErr w:type="spellEnd"/>
      <w:proofErr w:type="gramEnd"/>
      <w:r w:rsidRPr="007F2846">
        <w:t xml:space="preserve"> </w:t>
      </w:r>
      <w:proofErr w:type="spellStart"/>
      <w:r w:rsidRPr="007F2846">
        <w:t>èkvivalentnost</w:t>
      </w:r>
      <w:proofErr w:type="spellEnd"/>
      <w:r w:rsidRPr="007F2846">
        <w:t xml:space="preserve">’ </w:t>
      </w:r>
      <w:proofErr w:type="spellStart"/>
      <w:r w:rsidRPr="007F2846">
        <w:t>i</w:t>
      </w:r>
      <w:proofErr w:type="spellEnd"/>
      <w:r w:rsidRPr="007F2846">
        <w:t xml:space="preserve"> </w:t>
      </w:r>
      <w:proofErr w:type="spellStart"/>
      <w:r w:rsidRPr="007F2846">
        <w:t>problem</w:t>
      </w:r>
      <w:r w:rsidR="007F704A">
        <w:t>y</w:t>
      </w:r>
      <w:proofErr w:type="spellEnd"/>
      <w:r w:rsidRPr="007F2846">
        <w:t xml:space="preserve"> </w:t>
      </w:r>
      <w:proofErr w:type="spellStart"/>
      <w:r w:rsidRPr="007F2846">
        <w:t>perevoda</w:t>
      </w:r>
      <w:proofErr w:type="spellEnd"/>
      <w:r w:rsidRPr="007F2846">
        <w:t xml:space="preserve"> idiom</w:t>
      </w:r>
      <w:r w:rsidR="007F2846" w:rsidRPr="007F2846">
        <w:t xml:space="preserve"> [Contrastive phraseolog</w:t>
      </w:r>
      <w:r w:rsidR="007F2846">
        <w:t xml:space="preserve">y: </w:t>
      </w:r>
      <w:r w:rsidR="007F704A">
        <w:t>cross-</w:t>
      </w:r>
      <w:r w:rsidR="007F2846">
        <w:t>linguistic equivalence and the problem</w:t>
      </w:r>
      <w:r w:rsidR="007F704A">
        <w:t>s</w:t>
      </w:r>
      <w:r w:rsidR="007F2846">
        <w:t xml:space="preserve"> of translating idioms]</w:t>
      </w:r>
      <w:r w:rsidRPr="007F2846">
        <w:t xml:space="preserve">. In: </w:t>
      </w:r>
      <w:proofErr w:type="spellStart"/>
      <w:r w:rsidRPr="007F2846">
        <w:t>Russkij</w:t>
      </w:r>
      <w:proofErr w:type="spellEnd"/>
      <w:r w:rsidRPr="007F2846">
        <w:t xml:space="preserve"> </w:t>
      </w:r>
      <w:proofErr w:type="spellStart"/>
      <w:r w:rsidRPr="007F2846">
        <w:t>jazyk</w:t>
      </w:r>
      <w:proofErr w:type="spellEnd"/>
      <w:r w:rsidRPr="007F2846">
        <w:t xml:space="preserve"> v </w:t>
      </w:r>
      <w:proofErr w:type="spellStart"/>
      <w:r w:rsidRPr="007F2846">
        <w:t>naučnom</w:t>
      </w:r>
      <w:proofErr w:type="spellEnd"/>
      <w:r w:rsidRPr="007F2846">
        <w:t xml:space="preserve"> </w:t>
      </w:r>
      <w:proofErr w:type="spellStart"/>
      <w:r w:rsidRPr="007F2846">
        <w:t>osveščenii</w:t>
      </w:r>
      <w:proofErr w:type="spellEnd"/>
      <w:r w:rsidR="007F2846" w:rsidRPr="007F2846">
        <w:t>,</w:t>
      </w:r>
      <w:r w:rsidRPr="007F2846">
        <w:t xml:space="preserve"> 2</w:t>
      </w:r>
      <w:r w:rsidR="007F2846" w:rsidRPr="007F2846">
        <w:t>2</w:t>
      </w:r>
      <w:r w:rsidRPr="007F2846">
        <w:t xml:space="preserve">(2), </w:t>
      </w:r>
      <w:r w:rsidRPr="007F2846">
        <w:t xml:space="preserve">pp. </w:t>
      </w:r>
      <w:r w:rsidRPr="007F2846">
        <w:t>219-246.</w:t>
      </w:r>
    </w:p>
    <w:p w14:paraId="0E418E91" w14:textId="73F4B5E2" w:rsidR="00D3434A" w:rsidRPr="00D3434A" w:rsidRDefault="00D3434A" w:rsidP="00D3434A">
      <w:pPr>
        <w:pStyle w:val="Literaturverzeichnis1"/>
        <w:ind w:left="397" w:hanging="397"/>
        <w:rPr>
          <w:lang w:val="de-DE"/>
        </w:rPr>
      </w:pPr>
      <w:r w:rsidRPr="00D3434A">
        <w:rPr>
          <w:lang w:val="de-DE"/>
        </w:rPr>
        <w:lastRenderedPageBreak/>
        <w:t xml:space="preserve">Fiedler, Sabine 2004. Phraseologie im Comic: Eine Untersuchung anhand der Zeitschrift MOSAIK. In: </w:t>
      </w:r>
      <w:proofErr w:type="spellStart"/>
      <w:r w:rsidRPr="00D3434A">
        <w:rPr>
          <w:lang w:val="de-DE"/>
        </w:rPr>
        <w:t>Földes</w:t>
      </w:r>
      <w:proofErr w:type="spellEnd"/>
      <w:r w:rsidRPr="00D3434A">
        <w:rPr>
          <w:lang w:val="de-DE"/>
        </w:rPr>
        <w:t xml:space="preserve">, </w:t>
      </w:r>
      <w:proofErr w:type="spellStart"/>
      <w:r w:rsidRPr="00D3434A">
        <w:rPr>
          <w:lang w:val="de-DE"/>
        </w:rPr>
        <w:t>Czaba</w:t>
      </w:r>
      <w:proofErr w:type="spellEnd"/>
      <w:r w:rsidRPr="00D3434A">
        <w:rPr>
          <w:lang w:val="de-DE"/>
        </w:rPr>
        <w:t>/Wirrer, Jan (Hrsg.)</w:t>
      </w:r>
      <w:r w:rsidR="007F2846">
        <w:rPr>
          <w:lang w:val="de-DE"/>
        </w:rPr>
        <w:t>:</w:t>
      </w:r>
      <w:r w:rsidRPr="00D3434A">
        <w:rPr>
          <w:lang w:val="de-DE"/>
        </w:rPr>
        <w:t xml:space="preserve"> Phraseologismen als Gegenstand sprach- und kulturwissenschaftlicher Forschung. Akten der europäischen Gesellschaft für Phraseologie (</w:t>
      </w:r>
      <w:proofErr w:type="spellStart"/>
      <w:r w:rsidRPr="00D3434A">
        <w:rPr>
          <w:lang w:val="de-DE"/>
        </w:rPr>
        <w:t>Europhras</w:t>
      </w:r>
      <w:proofErr w:type="spellEnd"/>
      <w:r w:rsidRPr="00D3434A">
        <w:rPr>
          <w:lang w:val="de-DE"/>
        </w:rPr>
        <w:t xml:space="preserve">) und des Westfälischen Arbeitskreises “Phraseologie/Parömiologie” (Loccum 2002). Baltmannsweiler: Schneider-Verlag Hohengehren, </w:t>
      </w:r>
      <w:r w:rsidR="007F2846">
        <w:rPr>
          <w:lang w:val="de-DE"/>
        </w:rPr>
        <w:t xml:space="preserve">pp. </w:t>
      </w:r>
      <w:r w:rsidRPr="00D3434A">
        <w:rPr>
          <w:lang w:val="de-DE"/>
        </w:rPr>
        <w:t>187-196.</w:t>
      </w:r>
    </w:p>
    <w:p w14:paraId="0406FCAA" w14:textId="5BFD77C0" w:rsidR="00D3434A" w:rsidRPr="00D3434A" w:rsidRDefault="00D3434A" w:rsidP="00D3434A">
      <w:pPr>
        <w:pStyle w:val="Literaturverzeichnis1"/>
        <w:ind w:left="397" w:hanging="397"/>
        <w:rPr>
          <w:lang w:val="de-DE"/>
        </w:rPr>
      </w:pPr>
      <w:proofErr w:type="spellStart"/>
      <w:r w:rsidRPr="00D3434A">
        <w:rPr>
          <w:lang w:val="de-DE"/>
        </w:rPr>
        <w:t>Kollner</w:t>
      </w:r>
      <w:proofErr w:type="spellEnd"/>
      <w:r w:rsidRPr="00D3434A">
        <w:rPr>
          <w:lang w:val="de-DE"/>
        </w:rPr>
        <w:t xml:space="preserve">, Werner. 2007. Probleme der Übersetzung von </w:t>
      </w:r>
      <w:proofErr w:type="spellStart"/>
      <w:r w:rsidRPr="00D3434A">
        <w:rPr>
          <w:lang w:val="de-DE"/>
        </w:rPr>
        <w:t>Phrasemen</w:t>
      </w:r>
      <w:proofErr w:type="spellEnd"/>
      <w:r w:rsidRPr="00D3434A">
        <w:rPr>
          <w:lang w:val="de-DE"/>
        </w:rPr>
        <w:t>. In: Burger, Harald u.a. (H</w:t>
      </w:r>
      <w:r w:rsidR="007F2846">
        <w:rPr>
          <w:lang w:val="de-DE"/>
        </w:rPr>
        <w:t>rs</w:t>
      </w:r>
      <w:r w:rsidRPr="00D3434A">
        <w:rPr>
          <w:lang w:val="de-DE"/>
        </w:rPr>
        <w:t>g.)</w:t>
      </w:r>
      <w:r w:rsidR="007F2846">
        <w:rPr>
          <w:lang w:val="de-DE"/>
        </w:rPr>
        <w:t>:</w:t>
      </w:r>
      <w:r w:rsidRPr="00D3434A">
        <w:rPr>
          <w:lang w:val="de-DE"/>
        </w:rPr>
        <w:t xml:space="preserve"> Phraseologie. Ein internationales Handbuch der zeitgenössischen Forschung. 1. </w:t>
      </w:r>
      <w:proofErr w:type="spellStart"/>
      <w:r w:rsidRPr="00D3434A">
        <w:rPr>
          <w:lang w:val="de-DE"/>
        </w:rPr>
        <w:t>Halbband</w:t>
      </w:r>
      <w:proofErr w:type="spellEnd"/>
      <w:r w:rsidRPr="00D3434A">
        <w:rPr>
          <w:lang w:val="de-DE"/>
        </w:rPr>
        <w:t xml:space="preserve">. Berlin/New York: de Gruyter, </w:t>
      </w:r>
      <w:r w:rsidR="007F2846">
        <w:rPr>
          <w:lang w:val="de-DE"/>
        </w:rPr>
        <w:t xml:space="preserve">pp. </w:t>
      </w:r>
      <w:r w:rsidRPr="00D3434A">
        <w:rPr>
          <w:lang w:val="de-DE"/>
        </w:rPr>
        <w:t>605-613.</w:t>
      </w:r>
    </w:p>
    <w:p w14:paraId="1B17AAC6" w14:textId="27086380" w:rsidR="00D3434A" w:rsidRPr="00D3434A" w:rsidRDefault="00D3434A" w:rsidP="00D3434A">
      <w:pPr>
        <w:pStyle w:val="Literaturverzeichnis1"/>
        <w:ind w:left="397" w:hanging="397"/>
        <w:rPr>
          <w:lang w:val="de-DE"/>
        </w:rPr>
      </w:pPr>
      <w:proofErr w:type="spellStart"/>
      <w:r w:rsidRPr="00D3434A">
        <w:rPr>
          <w:lang w:val="de-DE"/>
        </w:rPr>
        <w:t>Korhonen</w:t>
      </w:r>
      <w:proofErr w:type="spellEnd"/>
      <w:r w:rsidRPr="00D3434A">
        <w:rPr>
          <w:lang w:val="de-DE"/>
        </w:rPr>
        <w:t xml:space="preserve">, Jarmo. 2004. Phraseologismen als Übersetzungsproblem. In: Kittel, Harald u.a. (Hrsg.). Übersetzung. Ein internationales Handbuch zur Übersetzungsforschung. Band 1. Berlin/New York: de Gruyter, </w:t>
      </w:r>
      <w:r w:rsidR="007F2846">
        <w:rPr>
          <w:lang w:val="de-DE"/>
        </w:rPr>
        <w:t xml:space="preserve">pp. </w:t>
      </w:r>
      <w:r w:rsidRPr="00D3434A">
        <w:rPr>
          <w:lang w:val="de-DE"/>
        </w:rPr>
        <w:t xml:space="preserve">580-587. </w:t>
      </w:r>
    </w:p>
    <w:p w14:paraId="75FF3D6D" w14:textId="52382EA4" w:rsidR="00D3434A" w:rsidRPr="00D3434A" w:rsidRDefault="00D3434A" w:rsidP="00D3434A">
      <w:pPr>
        <w:pStyle w:val="Literaturverzeichnis1"/>
        <w:ind w:left="397" w:hanging="397"/>
        <w:rPr>
          <w:lang w:val="de-DE"/>
        </w:rPr>
      </w:pPr>
      <w:proofErr w:type="spellStart"/>
      <w:r w:rsidRPr="00D3434A">
        <w:rPr>
          <w:lang w:val="de-DE"/>
        </w:rPr>
        <w:t>Korhonen</w:t>
      </w:r>
      <w:proofErr w:type="spellEnd"/>
      <w:r w:rsidRPr="00D3434A">
        <w:rPr>
          <w:lang w:val="de-DE"/>
        </w:rPr>
        <w:t xml:space="preserve">, Jarmo. 2007. Probleme der kontrastiven Phraseologie. In: Burger, Harald u.a. (Hrsg.). Phraseologie. Ein internationales Handbuch der zeitgenössischen Forschung. 1. </w:t>
      </w:r>
      <w:proofErr w:type="spellStart"/>
      <w:r w:rsidRPr="00D3434A">
        <w:rPr>
          <w:lang w:val="de-DE"/>
        </w:rPr>
        <w:t>Halbband</w:t>
      </w:r>
      <w:proofErr w:type="spellEnd"/>
      <w:r w:rsidRPr="00D3434A">
        <w:rPr>
          <w:lang w:val="de-DE"/>
        </w:rPr>
        <w:t xml:space="preserve">. Berlin/New York: de Gruyter, </w:t>
      </w:r>
      <w:r w:rsidR="007F2846">
        <w:rPr>
          <w:lang w:val="de-DE"/>
        </w:rPr>
        <w:t xml:space="preserve">pp. </w:t>
      </w:r>
      <w:r w:rsidRPr="00D3434A">
        <w:rPr>
          <w:lang w:val="de-DE"/>
        </w:rPr>
        <w:t>574-589.</w:t>
      </w:r>
    </w:p>
    <w:p w14:paraId="5BE47415" w14:textId="6D9BD30D" w:rsidR="00D3434A" w:rsidRPr="00D3434A" w:rsidRDefault="00D3434A" w:rsidP="00D3434A">
      <w:pPr>
        <w:pStyle w:val="Literaturverzeichnis1"/>
        <w:ind w:left="397" w:hanging="397"/>
        <w:rPr>
          <w:lang w:val="de-DE"/>
        </w:rPr>
      </w:pPr>
      <w:r w:rsidRPr="00D3434A">
        <w:rPr>
          <w:lang w:val="de-DE"/>
        </w:rPr>
        <w:t xml:space="preserve">Rodríguez Abella, Rosa María. 2020. </w:t>
      </w:r>
      <w:proofErr w:type="spellStart"/>
      <w:r w:rsidRPr="00D3434A">
        <w:rPr>
          <w:lang w:val="de-DE"/>
        </w:rPr>
        <w:t>Cómic</w:t>
      </w:r>
      <w:proofErr w:type="spellEnd"/>
      <w:r w:rsidRPr="00D3434A">
        <w:rPr>
          <w:lang w:val="de-DE"/>
        </w:rPr>
        <w:t xml:space="preserve"> y </w:t>
      </w:r>
      <w:proofErr w:type="spellStart"/>
      <w:r w:rsidRPr="00D3434A">
        <w:rPr>
          <w:lang w:val="de-DE"/>
        </w:rPr>
        <w:t>traducción</w:t>
      </w:r>
      <w:proofErr w:type="spellEnd"/>
      <w:r w:rsidRPr="00D3434A">
        <w:rPr>
          <w:lang w:val="de-DE"/>
        </w:rPr>
        <w:t xml:space="preserve"> de </w:t>
      </w:r>
      <w:proofErr w:type="spellStart"/>
      <w:r w:rsidRPr="00D3434A">
        <w:rPr>
          <w:lang w:val="de-DE"/>
        </w:rPr>
        <w:t>unidades</w:t>
      </w:r>
      <w:proofErr w:type="spellEnd"/>
      <w:r w:rsidRPr="00D3434A">
        <w:rPr>
          <w:lang w:val="de-DE"/>
        </w:rPr>
        <w:t xml:space="preserve"> </w:t>
      </w:r>
      <w:proofErr w:type="spellStart"/>
      <w:r w:rsidRPr="00D3434A">
        <w:rPr>
          <w:lang w:val="de-DE"/>
        </w:rPr>
        <w:t>fraseológicas</w:t>
      </w:r>
      <w:proofErr w:type="spellEnd"/>
      <w:r w:rsidRPr="00D3434A">
        <w:rPr>
          <w:lang w:val="de-DE"/>
        </w:rPr>
        <w:t xml:space="preserve"> (</w:t>
      </w:r>
      <w:proofErr w:type="spellStart"/>
      <w:r w:rsidRPr="00D3434A">
        <w:rPr>
          <w:lang w:val="de-DE"/>
        </w:rPr>
        <w:t>análisis</w:t>
      </w:r>
      <w:proofErr w:type="spellEnd"/>
      <w:r w:rsidRPr="00D3434A">
        <w:rPr>
          <w:lang w:val="de-DE"/>
        </w:rPr>
        <w:t xml:space="preserve"> </w:t>
      </w:r>
      <w:proofErr w:type="spellStart"/>
      <w:r w:rsidRPr="00D3434A">
        <w:rPr>
          <w:lang w:val="de-DE"/>
        </w:rPr>
        <w:t>contrastivo</w:t>
      </w:r>
      <w:proofErr w:type="spellEnd"/>
      <w:r w:rsidRPr="00D3434A">
        <w:rPr>
          <w:lang w:val="de-DE"/>
        </w:rPr>
        <w:t xml:space="preserve"> </w:t>
      </w:r>
      <w:proofErr w:type="spellStart"/>
      <w:r w:rsidRPr="00D3434A">
        <w:rPr>
          <w:lang w:val="de-DE"/>
        </w:rPr>
        <w:t>español-italiano</w:t>
      </w:r>
      <w:proofErr w:type="spellEnd"/>
      <w:r w:rsidRPr="00D3434A">
        <w:rPr>
          <w:lang w:val="de-DE"/>
        </w:rPr>
        <w:t xml:space="preserve">). In: Cotta </w:t>
      </w:r>
      <w:proofErr w:type="spellStart"/>
      <w:r w:rsidRPr="00D3434A">
        <w:rPr>
          <w:lang w:val="de-DE"/>
        </w:rPr>
        <w:t>Ramusino</w:t>
      </w:r>
      <w:proofErr w:type="spellEnd"/>
      <w:r w:rsidRPr="00D3434A">
        <w:rPr>
          <w:lang w:val="de-DE"/>
        </w:rPr>
        <w:t>, Paola/</w:t>
      </w:r>
      <w:proofErr w:type="spellStart"/>
      <w:r w:rsidRPr="00D3434A">
        <w:rPr>
          <w:lang w:val="de-DE"/>
        </w:rPr>
        <w:t>Mollica</w:t>
      </w:r>
      <w:proofErr w:type="spellEnd"/>
      <w:r w:rsidRPr="00D3434A">
        <w:rPr>
          <w:lang w:val="de-DE"/>
        </w:rPr>
        <w:t>, Fabio (</w:t>
      </w:r>
      <w:proofErr w:type="spellStart"/>
      <w:r w:rsidRPr="00D3434A">
        <w:rPr>
          <w:lang w:val="de-DE"/>
        </w:rPr>
        <w:t>eds</w:t>
      </w:r>
      <w:proofErr w:type="spellEnd"/>
      <w:r w:rsidRPr="00D3434A">
        <w:rPr>
          <w:lang w:val="de-DE"/>
        </w:rPr>
        <w:t>.)</w:t>
      </w:r>
      <w:r w:rsidR="007F2846">
        <w:rPr>
          <w:lang w:val="de-DE"/>
        </w:rPr>
        <w:t>:</w:t>
      </w:r>
      <w:r w:rsidRPr="00D3434A">
        <w:rPr>
          <w:lang w:val="de-DE"/>
        </w:rPr>
        <w:t xml:space="preserve"> </w:t>
      </w:r>
      <w:proofErr w:type="spellStart"/>
      <w:r w:rsidRPr="00D3434A">
        <w:rPr>
          <w:lang w:val="de-DE"/>
        </w:rPr>
        <w:t>Contrastive</w:t>
      </w:r>
      <w:proofErr w:type="spellEnd"/>
      <w:r w:rsidRPr="00D3434A">
        <w:rPr>
          <w:lang w:val="de-DE"/>
        </w:rPr>
        <w:t xml:space="preserve"> </w:t>
      </w:r>
      <w:proofErr w:type="spellStart"/>
      <w:r w:rsidRPr="00D3434A">
        <w:rPr>
          <w:lang w:val="de-DE"/>
        </w:rPr>
        <w:t>phraseology</w:t>
      </w:r>
      <w:proofErr w:type="spellEnd"/>
      <w:r w:rsidRPr="00D3434A">
        <w:rPr>
          <w:lang w:val="de-DE"/>
        </w:rPr>
        <w:t xml:space="preserve">: </w:t>
      </w:r>
      <w:proofErr w:type="spellStart"/>
      <w:r w:rsidRPr="00D3434A">
        <w:rPr>
          <w:lang w:val="de-DE"/>
        </w:rPr>
        <w:t>languages</w:t>
      </w:r>
      <w:proofErr w:type="spellEnd"/>
      <w:r w:rsidRPr="00D3434A">
        <w:rPr>
          <w:lang w:val="de-DE"/>
        </w:rPr>
        <w:t xml:space="preserve"> and </w:t>
      </w:r>
      <w:proofErr w:type="spellStart"/>
      <w:r w:rsidRPr="00D3434A">
        <w:rPr>
          <w:lang w:val="de-DE"/>
        </w:rPr>
        <w:t>cultures</w:t>
      </w:r>
      <w:proofErr w:type="spellEnd"/>
      <w:r w:rsidRPr="00D3434A">
        <w:rPr>
          <w:lang w:val="de-DE"/>
        </w:rPr>
        <w:t xml:space="preserve"> in </w:t>
      </w:r>
      <w:proofErr w:type="spellStart"/>
      <w:r w:rsidRPr="00D3434A">
        <w:rPr>
          <w:lang w:val="de-DE"/>
        </w:rPr>
        <w:t>comparison</w:t>
      </w:r>
      <w:proofErr w:type="spellEnd"/>
      <w:r w:rsidRPr="00D3434A">
        <w:rPr>
          <w:lang w:val="de-DE"/>
        </w:rPr>
        <w:t xml:space="preserve">. Cambridge: Cambridge </w:t>
      </w:r>
      <w:proofErr w:type="spellStart"/>
      <w:r w:rsidRPr="00D3434A">
        <w:rPr>
          <w:lang w:val="de-DE"/>
        </w:rPr>
        <w:t>Scholars</w:t>
      </w:r>
      <w:proofErr w:type="spellEnd"/>
      <w:r w:rsidRPr="00D3434A">
        <w:rPr>
          <w:lang w:val="de-DE"/>
        </w:rPr>
        <w:t xml:space="preserve"> Publishing, </w:t>
      </w:r>
      <w:r w:rsidR="007F2846">
        <w:rPr>
          <w:lang w:val="de-DE"/>
        </w:rPr>
        <w:t xml:space="preserve">pp. </w:t>
      </w:r>
      <w:r w:rsidRPr="00D3434A">
        <w:rPr>
          <w:lang w:val="de-DE"/>
        </w:rPr>
        <w:t xml:space="preserve">549-564. </w:t>
      </w:r>
    </w:p>
    <w:p w14:paraId="664642A3" w14:textId="77777777" w:rsidR="00D3434A" w:rsidRPr="00D3434A" w:rsidRDefault="00D3434A" w:rsidP="00D3434A">
      <w:pPr>
        <w:pStyle w:val="Literaturverzeichnis1"/>
        <w:ind w:left="397" w:hanging="397"/>
        <w:rPr>
          <w:lang w:val="it-IT"/>
        </w:rPr>
      </w:pPr>
      <w:r w:rsidRPr="00D3434A">
        <w:rPr>
          <w:lang w:val="de-DE"/>
        </w:rPr>
        <w:t xml:space="preserve">Uderzo, Albert (1991a): Astérix la </w:t>
      </w:r>
      <w:proofErr w:type="spellStart"/>
      <w:r w:rsidRPr="00D3434A">
        <w:rPr>
          <w:lang w:val="de-DE"/>
        </w:rPr>
        <w:t>rose</w:t>
      </w:r>
      <w:proofErr w:type="spellEnd"/>
      <w:r w:rsidRPr="00D3434A">
        <w:rPr>
          <w:lang w:val="de-DE"/>
        </w:rPr>
        <w:t xml:space="preserve"> et le </w:t>
      </w:r>
      <w:proofErr w:type="spellStart"/>
      <w:r w:rsidRPr="00D3434A">
        <w:rPr>
          <w:lang w:val="de-DE"/>
        </w:rPr>
        <w:t>glaive</w:t>
      </w:r>
      <w:proofErr w:type="spellEnd"/>
      <w:r w:rsidRPr="00D3434A">
        <w:rPr>
          <w:lang w:val="de-DE"/>
        </w:rPr>
        <w:t xml:space="preserve">. </w:t>
      </w:r>
      <w:r w:rsidRPr="00D3434A">
        <w:rPr>
          <w:lang w:val="it-IT"/>
        </w:rPr>
        <w:t xml:space="preserve">Paris: </w:t>
      </w:r>
      <w:proofErr w:type="spellStart"/>
      <w:r w:rsidRPr="00D3434A">
        <w:rPr>
          <w:lang w:val="it-IT"/>
        </w:rPr>
        <w:t>Editions</w:t>
      </w:r>
      <w:proofErr w:type="spellEnd"/>
      <w:r w:rsidRPr="00D3434A">
        <w:rPr>
          <w:lang w:val="it-IT"/>
        </w:rPr>
        <w:t xml:space="preserve"> Albert René.</w:t>
      </w:r>
    </w:p>
    <w:p w14:paraId="30774E78" w14:textId="77777777" w:rsidR="00D3434A" w:rsidRPr="00D3434A" w:rsidRDefault="00D3434A" w:rsidP="00D3434A">
      <w:pPr>
        <w:pStyle w:val="Literaturverzeichnis1"/>
        <w:ind w:left="397" w:hanging="397"/>
        <w:rPr>
          <w:lang w:val="it-IT"/>
        </w:rPr>
      </w:pPr>
      <w:r w:rsidRPr="00D3434A">
        <w:rPr>
          <w:lang w:val="it-IT"/>
        </w:rPr>
        <w:t>Uderzo, Albert (1991b): Asterix la rosa e il gladio. Milano: A. Mondadori Editore.</w:t>
      </w:r>
    </w:p>
    <w:p w14:paraId="6C0A109B" w14:textId="77777777" w:rsidR="00D3434A" w:rsidRPr="00D3434A" w:rsidRDefault="00D3434A" w:rsidP="00D3434A">
      <w:pPr>
        <w:pStyle w:val="Literaturverzeichnis1"/>
        <w:ind w:left="397" w:hanging="397"/>
        <w:rPr>
          <w:lang w:val="de-DE"/>
        </w:rPr>
      </w:pPr>
      <w:r w:rsidRPr="00D3434A">
        <w:rPr>
          <w:lang w:val="de-DE"/>
        </w:rPr>
        <w:t xml:space="preserve">Uderzo, Albert (1991c): Asterix und </w:t>
      </w:r>
      <w:proofErr w:type="spellStart"/>
      <w:r w:rsidRPr="00D3434A">
        <w:rPr>
          <w:lang w:val="de-DE"/>
        </w:rPr>
        <w:t>Maestria</w:t>
      </w:r>
      <w:proofErr w:type="spellEnd"/>
      <w:r w:rsidRPr="00D3434A">
        <w:rPr>
          <w:lang w:val="de-DE"/>
        </w:rPr>
        <w:t>. Stuttgart: Egmont Ehapa Verlag.</w:t>
      </w:r>
    </w:p>
    <w:p w14:paraId="4BFBC696" w14:textId="2E3F8FB5" w:rsidR="00AB181E" w:rsidRDefault="00D3434A" w:rsidP="00D3434A">
      <w:pPr>
        <w:pStyle w:val="Literaturverzeichnis1"/>
        <w:ind w:left="397" w:hanging="397"/>
      </w:pPr>
      <w:proofErr w:type="spellStart"/>
      <w:r>
        <w:t>Zanettin</w:t>
      </w:r>
      <w:proofErr w:type="spellEnd"/>
      <w:r>
        <w:t xml:space="preserve">, Federico (2014 [2008]). Comics in translation. An annotated bibliography. In: </w:t>
      </w:r>
      <w:proofErr w:type="spellStart"/>
      <w:r>
        <w:t>Zanettin</w:t>
      </w:r>
      <w:proofErr w:type="spellEnd"/>
      <w:r>
        <w:t>, Federico (ed.)</w:t>
      </w:r>
      <w:r w:rsidR="007F2846">
        <w:t>:</w:t>
      </w:r>
      <w:r>
        <w:t xml:space="preserve"> Comics in </w:t>
      </w:r>
      <w:proofErr w:type="spellStart"/>
      <w:r>
        <w:t>traslation</w:t>
      </w:r>
      <w:proofErr w:type="spellEnd"/>
      <w:r>
        <w:t>. London/New York: Routledge, [no pagination].</w:t>
      </w:r>
    </w:p>
    <w:p w14:paraId="14FE44A8" w14:textId="77777777" w:rsidR="00AB181E" w:rsidRDefault="00224AA6">
      <w:pPr>
        <w:pStyle w:val="Titolo1"/>
      </w:pPr>
      <w:r>
        <w:t>Contact information</w:t>
      </w:r>
    </w:p>
    <w:p w14:paraId="0961353A" w14:textId="05D5CA5B" w:rsidR="00AB181E" w:rsidRPr="00D3434A" w:rsidRDefault="00D3434A">
      <w:pPr>
        <w:rPr>
          <w:lang w:val="it-IT"/>
        </w:rPr>
      </w:pPr>
      <w:r w:rsidRPr="00D3434A">
        <w:rPr>
          <w:rStyle w:val="Enfasigrassetto"/>
          <w:lang w:val="it-IT"/>
        </w:rPr>
        <w:t>Adriano Murelli</w:t>
      </w:r>
    </w:p>
    <w:p w14:paraId="7143A58B" w14:textId="39C65AB7" w:rsidR="00AB181E" w:rsidRPr="00D3434A" w:rsidRDefault="00D3434A">
      <w:pPr>
        <w:rPr>
          <w:lang w:val="it-IT"/>
        </w:rPr>
      </w:pPr>
      <w:r w:rsidRPr="00D3434A">
        <w:rPr>
          <w:lang w:val="it-IT"/>
        </w:rPr>
        <w:t>Un</w:t>
      </w:r>
      <w:r>
        <w:rPr>
          <w:lang w:val="it-IT"/>
        </w:rPr>
        <w:t>iversità degli Studi di Torino</w:t>
      </w:r>
    </w:p>
    <w:p w14:paraId="4B32BD88" w14:textId="4C2D19B7" w:rsidR="00AB181E" w:rsidRPr="00D3434A" w:rsidRDefault="00000000">
      <w:pPr>
        <w:rPr>
          <w:lang w:val="it-IT"/>
        </w:rPr>
      </w:pPr>
      <w:hyperlink r:id="rId7">
        <w:r w:rsidR="00D3434A">
          <w:rPr>
            <w:rStyle w:val="Collegamentoipertestuale"/>
            <w:lang w:val="it-IT"/>
          </w:rPr>
          <w:t>adriano.murelli@unito.it</w:t>
        </w:r>
      </w:hyperlink>
    </w:p>
    <w:p w14:paraId="749DE3F1" w14:textId="77777777" w:rsidR="00AB181E" w:rsidRPr="00D3434A" w:rsidRDefault="00AB181E">
      <w:pPr>
        <w:pStyle w:val="Literaturverzeichnis1"/>
        <w:ind w:left="0" w:firstLine="0"/>
        <w:rPr>
          <w:lang w:val="it-IT"/>
        </w:rPr>
      </w:pPr>
    </w:p>
    <w:p w14:paraId="683E9713" w14:textId="77777777" w:rsidR="00AB181E" w:rsidRPr="00D3434A" w:rsidRDefault="00AB181E">
      <w:pPr>
        <w:pStyle w:val="Literaturverzeichnis1"/>
        <w:ind w:left="0" w:firstLine="0"/>
        <w:rPr>
          <w:lang w:val="it-IT"/>
        </w:rPr>
      </w:pPr>
    </w:p>
    <w:sectPr w:rsidR="00AB181E" w:rsidRPr="00D3434A">
      <w:headerReference w:type="default" r:id="rId8"/>
      <w:footerReference w:type="default" r:id="rId9"/>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9D116" w14:textId="77777777" w:rsidR="00EA3AA1" w:rsidRDefault="00EA3AA1">
      <w:pPr>
        <w:spacing w:before="0" w:line="240" w:lineRule="auto"/>
      </w:pPr>
      <w:r>
        <w:separator/>
      </w:r>
    </w:p>
  </w:endnote>
  <w:endnote w:type="continuationSeparator" w:id="0">
    <w:p w14:paraId="0E3E91A9" w14:textId="77777777" w:rsidR="00EA3AA1" w:rsidRDefault="00EA3AA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D57DC68D-9062-4AE8-9FBD-FF566FAC44E0}"/>
    <w:embedBold r:id="rId2" w:fontKey="{987B5D67-26AC-4684-89FA-35D0B09AC6C5}"/>
  </w:font>
  <w:font w:name="Tahoma">
    <w:panose1 w:val="020B0604030504040204"/>
    <w:charset w:val="00"/>
    <w:family w:val="swiss"/>
    <w:pitch w:val="variable"/>
    <w:sig w:usb0="E1002EFF" w:usb1="C000605B" w:usb2="00000029" w:usb3="00000000" w:csb0="000101FF" w:csb1="00000000"/>
    <w:embedRegular r:id="rId3" w:fontKey="{AD8D0870-4478-497A-B3FD-2748ACD4C1C7}"/>
    <w:embedBold r:id="rId4" w:fontKey="{8F077CD5-F472-4C07-8142-D57C98EFAB50}"/>
    <w:embedItalic r:id="rId5" w:fontKey="{C88A1AC3-793F-4C44-AF24-7E6BE932F78D}"/>
  </w:font>
  <w:font w:name="Libertinus Serif">
    <w:altName w:val="Calibri"/>
    <w:panose1 w:val="00000000000000000000"/>
    <w:charset w:val="00"/>
    <w:family w:val="modern"/>
    <w:notTrueType/>
    <w:pitch w:val="variable"/>
    <w:sig w:usb0="E0000AFF" w:usb1="0200E5FB" w:usb2="01000020" w:usb3="00000000" w:csb0="000001BF" w:csb1="00000000"/>
  </w:font>
  <w:font w:name="Fira Sans">
    <w:charset w:val="00"/>
    <w:family w:val="swiss"/>
    <w:pitch w:val="variable"/>
    <w:sig w:usb0="600002FF" w:usb1="00000001" w:usb2="00000000" w:usb3="00000000" w:csb0="0000019F" w:csb1="00000000"/>
    <w:embedRegular r:id="rId6" w:fontKey="{A8AE17F2-24A8-482C-9C2A-0360CE6FEB55}"/>
    <w:embedBold r:id="rId7" w:fontKey="{07275150-668E-432A-8DF9-7725C4290519}"/>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80000001" w:csb1="00000000"/>
    <w:embedRegular r:id="rId8" w:fontKey="{D887AFB5-89F5-404A-8048-434D696ADAD9}"/>
  </w:font>
  <w:font w:name="Liberation Sans">
    <w:altName w:val="Arial"/>
    <w:charset w:val="00"/>
    <w:family w:val="swiss"/>
    <w:pitch w:val="variable"/>
    <w:sig w:usb0="E0000AFF" w:usb1="500078FF" w:usb2="00000021" w:usb3="00000000" w:csb0="000001BF" w:csb1="00000000"/>
    <w:embedBold r:id="rId9" w:fontKey="{EA48EA2A-CBA3-4F91-A28F-A8FFDBAE0263}"/>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10" w:fontKey="{D782973C-9BEF-4804-88F7-75DB3E118E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4FF8C" w14:textId="77777777" w:rsidR="00AB181E" w:rsidRDefault="00224AA6" w:rsidP="00694682">
    <w:pPr>
      <w:pStyle w:val="Pidipagina"/>
      <w:jc w:val="right"/>
    </w:pPr>
    <w:r>
      <w:rPr>
        <w:rStyle w:val="Numeropagina"/>
        <w:rFonts w:cs="Libertinus Serif"/>
      </w:rPr>
      <w:fldChar w:fldCharType="begin"/>
    </w:r>
    <w:r>
      <w:rPr>
        <w:rStyle w:val="Numeropagina"/>
        <w:rFonts w:cs="Libertinus Serif"/>
      </w:rPr>
      <w:instrText xml:space="preserve"> PAGE </w:instrText>
    </w:r>
    <w:r>
      <w:rPr>
        <w:rStyle w:val="Numeropagina"/>
        <w:rFonts w:cs="Libertinus Serif"/>
      </w:rPr>
      <w:fldChar w:fldCharType="separate"/>
    </w:r>
    <w:r w:rsidR="004C5262">
      <w:rPr>
        <w:rStyle w:val="Numeropagina"/>
        <w:rFonts w:cs="Libertinus Serif"/>
        <w:noProof/>
      </w:rPr>
      <w:t>3</w:t>
    </w:r>
    <w:r>
      <w:rPr>
        <w:rStyle w:val="Numeropagina"/>
        <w:rFonts w:cs="Libertinus Serif"/>
      </w:rPr>
      <w:fldChar w:fldCharType="end"/>
    </w:r>
  </w:p>
  <w:p w14:paraId="00FC94ED" w14:textId="77777777" w:rsidR="00AB181E" w:rsidRDefault="00AB181E">
    <w:pPr>
      <w:pStyle w:val="Pidipagina"/>
    </w:pPr>
  </w:p>
  <w:p w14:paraId="74E9ED56"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C72C8" w14:textId="77777777" w:rsidR="00EA3AA1" w:rsidRDefault="00EA3AA1">
      <w:pPr>
        <w:rPr>
          <w:sz w:val="12"/>
        </w:rPr>
      </w:pPr>
      <w:r>
        <w:separator/>
      </w:r>
    </w:p>
  </w:footnote>
  <w:footnote w:type="continuationSeparator" w:id="0">
    <w:p w14:paraId="3B8E5C3D" w14:textId="77777777" w:rsidR="00EA3AA1" w:rsidRDefault="00EA3AA1">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18E16" w14:textId="4B4D07D0" w:rsidR="00AB181E" w:rsidRDefault="00224AA6">
    <w:pPr>
      <w:pStyle w:val="Intestazione"/>
    </w:pPr>
    <w:r>
      <w:t>ICLC-10 2023 - Document Template for Revised Abstract</w:t>
    </w:r>
    <w:r>
      <w:rPr>
        <w:lang w:val="en-US"/>
      </w:rPr>
      <w:t>s</w:t>
    </w:r>
  </w:p>
  <w:p w14:paraId="2CB478B6" w14:textId="2287B590" w:rsidR="003D0B52" w:rsidRDefault="003D0B5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16cid:durableId="997684597">
    <w:abstractNumId w:val="0"/>
  </w:num>
  <w:num w:numId="2" w16cid:durableId="1331982120">
    <w:abstractNumId w:val="1"/>
  </w:num>
  <w:num w:numId="3" w16cid:durableId="13834085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F11EC"/>
    <w:rsid w:val="00224AA6"/>
    <w:rsid w:val="00227F60"/>
    <w:rsid w:val="003D0B52"/>
    <w:rsid w:val="004C5262"/>
    <w:rsid w:val="005561FE"/>
    <w:rsid w:val="00694682"/>
    <w:rsid w:val="00717483"/>
    <w:rsid w:val="007F2846"/>
    <w:rsid w:val="007F704A"/>
    <w:rsid w:val="009D4AD9"/>
    <w:rsid w:val="00A54BA3"/>
    <w:rsid w:val="00AB181E"/>
    <w:rsid w:val="00B22F8E"/>
    <w:rsid w:val="00C425D1"/>
    <w:rsid w:val="00D3434A"/>
    <w:rsid w:val="00DB1137"/>
    <w:rsid w:val="00EA3AA1"/>
    <w:rsid w:val="00F47A0D"/>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DFB15"/>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val="0"/>
      <w:spacing w:before="113" w:line="280" w:lineRule="exact"/>
      <w:jc w:val="both"/>
    </w:pPr>
    <w:rPr>
      <w:rFonts w:ascii="Libertinus Serif" w:hAnsi="Libertinus Serif"/>
    </w:rPr>
  </w:style>
  <w:style w:type="paragraph" w:styleId="Titolo1">
    <w:name w:val="heading 1"/>
    <w:basedOn w:val="Normale"/>
    <w:next w:val="Normale"/>
    <w:link w:val="Titolo1Carattere"/>
    <w:qFormat/>
    <w:pPr>
      <w:keepNext/>
      <w:keepLines/>
      <w:spacing w:before="340" w:after="113" w:line="360" w:lineRule="exact"/>
      <w:outlineLvl w:val="0"/>
    </w:pPr>
    <w:rPr>
      <w:rFonts w:ascii="Fira Sans" w:hAnsi="Fira Sans"/>
      <w:b/>
      <w:color w:val="4FAF4A"/>
      <w:sz w:val="28"/>
      <w:szCs w:val="32"/>
    </w:rPr>
  </w:style>
  <w:style w:type="paragraph" w:styleId="Titolo2">
    <w:name w:val="heading 2"/>
    <w:basedOn w:val="Normale"/>
    <w:next w:val="Normale"/>
    <w:link w:val="Titolo2Carattere"/>
    <w:qFormat/>
    <w:pPr>
      <w:keepNext/>
      <w:keepLines/>
      <w:spacing w:before="340" w:after="113" w:line="340" w:lineRule="exact"/>
      <w:outlineLvl w:val="1"/>
    </w:pPr>
    <w:rPr>
      <w:rFonts w:ascii="Fira Sans" w:hAnsi="Fira Sans"/>
      <w:b/>
      <w:color w:val="4FAF4A"/>
      <w:sz w:val="26"/>
      <w:szCs w:val="26"/>
    </w:rPr>
  </w:style>
  <w:style w:type="paragraph" w:styleId="Titolo3">
    <w:name w:val="heading 3"/>
    <w:basedOn w:val="Normale"/>
    <w:next w:val="Normale"/>
    <w:link w:val="Titolo3Carattere"/>
    <w:qFormat/>
    <w:pPr>
      <w:keepNext/>
      <w:keepLines/>
      <w:spacing w:before="227" w:after="113" w:line="320" w:lineRule="exact"/>
      <w:outlineLvl w:val="2"/>
    </w:pPr>
    <w:rPr>
      <w:rFonts w:ascii="Fira Sans" w:hAnsi="Fira Sans"/>
      <w:color w:val="4FAF4A"/>
      <w:sz w:val="24"/>
      <w:szCs w:val="24"/>
    </w:rPr>
  </w:style>
  <w:style w:type="paragraph" w:styleId="Titolo4">
    <w:name w:val="heading 4"/>
    <w:basedOn w:val="Normale"/>
    <w:next w:val="Normale"/>
    <w:link w:val="Titolo4Carattere"/>
    <w:qFormat/>
    <w:pPr>
      <w:keepNext/>
      <w:keepLines/>
      <w:spacing w:before="227"/>
      <w:outlineLvl w:val="3"/>
    </w:pPr>
    <w:rPr>
      <w:rFonts w:ascii="Fira Sans" w:hAnsi="Fira Sans"/>
      <w:iCs/>
      <w:color w:val="4FAF4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qFormat/>
    <w:rPr>
      <w:rFonts w:ascii="Fira Sans" w:eastAsia="Calibri" w:hAnsi="Fira Sans" w:cs="Tahoma"/>
      <w:b/>
      <w:color w:val="F79646"/>
      <w:sz w:val="28"/>
      <w:szCs w:val="32"/>
    </w:rPr>
  </w:style>
  <w:style w:type="character" w:customStyle="1" w:styleId="Titolo2Carattere">
    <w:name w:val="Titolo 2 Carattere"/>
    <w:basedOn w:val="Carpredefinitoparagrafo"/>
    <w:link w:val="Titolo2"/>
    <w:qFormat/>
    <w:rPr>
      <w:rFonts w:ascii="Fira Sans" w:eastAsia="Calibri" w:hAnsi="Fira Sans" w:cs="Tahoma"/>
      <w:b/>
      <w:color w:val="F79646"/>
      <w:sz w:val="26"/>
      <w:szCs w:val="26"/>
    </w:rPr>
  </w:style>
  <w:style w:type="character" w:customStyle="1" w:styleId="Titolo3Carattere">
    <w:name w:val="Titolo 3 Carattere"/>
    <w:basedOn w:val="Carpredefinitoparagrafo"/>
    <w:link w:val="Titolo3"/>
    <w:qFormat/>
    <w:rPr>
      <w:rFonts w:ascii="Fira Sans" w:eastAsia="Calibri" w:hAnsi="Fira Sans" w:cs="Tahoma"/>
      <w:color w:val="F79646"/>
      <w:sz w:val="24"/>
      <w:szCs w:val="24"/>
    </w:rPr>
  </w:style>
  <w:style w:type="character" w:customStyle="1" w:styleId="Titolo4Carattere">
    <w:name w:val="Titolo 4 Carattere"/>
    <w:basedOn w:val="Carpredefinitoparagrafo"/>
    <w:link w:val="Titolo4"/>
    <w:qFormat/>
    <w:rPr>
      <w:rFonts w:ascii="Fira Sans" w:eastAsia="Calibri" w:hAnsi="Fira Sans" w:cs="Tahoma"/>
      <w:iCs/>
      <w:color w:val="F79646"/>
    </w:rPr>
  </w:style>
  <w:style w:type="character" w:customStyle="1" w:styleId="TitoloCarattere">
    <w:name w:val="Titolo Carattere"/>
    <w:basedOn w:val="Carpredefinitoparagrafo"/>
    <w:link w:val="Titolo"/>
    <w:qFormat/>
    <w:rsid w:val="00227F60"/>
    <w:rPr>
      <w:rFonts w:ascii="Fira Sans" w:hAnsi="Fira Sans"/>
      <w:b/>
      <w:color w:val="4FAF4A"/>
      <w:sz w:val="38"/>
      <w:szCs w:val="56"/>
    </w:rPr>
  </w:style>
  <w:style w:type="character" w:styleId="Enfasigrassetto">
    <w:name w:val="Strong"/>
    <w:basedOn w:val="Carpredefinitoparagrafo"/>
    <w:qFormat/>
    <w:rPr>
      <w:b/>
      <w:bCs/>
    </w:rPr>
  </w:style>
  <w:style w:type="character" w:styleId="Enfasicorsivo">
    <w:name w:val="Emphasis"/>
    <w:basedOn w:val="Carpredefinitoparagrafo"/>
    <w:qFormat/>
    <w:rPr>
      <w:i/>
      <w:iCs/>
    </w:rPr>
  </w:style>
  <w:style w:type="character" w:styleId="Enfasiintensa">
    <w:name w:val="Intense Emphasis"/>
    <w:basedOn w:val="Carpredefinitoparagrafo"/>
    <w:qFormat/>
    <w:rPr>
      <w:rFonts w:ascii="Libertinus Serif" w:hAnsi="Libertinus Serif"/>
      <w:b/>
      <w:bCs/>
      <w:i/>
      <w:iCs/>
      <w:color w:val="auto"/>
    </w:rPr>
  </w:style>
  <w:style w:type="character" w:customStyle="1" w:styleId="CitazioneCarattere">
    <w:name w:val="Citazione Carattere"/>
    <w:basedOn w:val="Carpredefinitoparagrafo"/>
    <w:link w:val="Citazione"/>
    <w:qFormat/>
    <w:rPr>
      <w:rFonts w:ascii="Libertinus Serif" w:hAnsi="Libertinus Serif"/>
      <w:iCs/>
      <w:sz w:val="20"/>
    </w:rPr>
  </w:style>
  <w:style w:type="character" w:customStyle="1" w:styleId="SottotitoloCarattere">
    <w:name w:val="Sottotitolo Carattere"/>
    <w:basedOn w:val="Carpredefinitoparagrafo"/>
    <w:link w:val="Sottotitolo"/>
    <w:qFormat/>
    <w:rsid w:val="004C5262"/>
    <w:rPr>
      <w:rFonts w:ascii="Fira Sans" w:hAnsi="Fira Sans"/>
      <w:b/>
      <w:color w:val="5A5A5A"/>
      <w:spacing w:val="16"/>
      <w:sz w:val="28"/>
    </w:rPr>
  </w:style>
  <w:style w:type="character" w:customStyle="1" w:styleId="IntestazioneCarattere">
    <w:name w:val="Intestazione Carattere"/>
    <w:basedOn w:val="Carpredefinitoparagrafo"/>
    <w:link w:val="Intestazione"/>
    <w:qFormat/>
    <w:rPr>
      <w:rFonts w:ascii="Times New Roman" w:hAnsi="Times New Roman"/>
      <w:sz w:val="24"/>
    </w:rPr>
  </w:style>
  <w:style w:type="character" w:customStyle="1" w:styleId="PidipaginaCarattere">
    <w:name w:val="Piè di pagina Carattere"/>
    <w:basedOn w:val="Carpredefinitoparagrafo"/>
    <w:link w:val="Pidipagina"/>
    <w:qFormat/>
    <w:rPr>
      <w:rFonts w:ascii="Times New Roman" w:hAnsi="Times New Roman"/>
      <w:sz w:val="24"/>
    </w:rPr>
  </w:style>
  <w:style w:type="character" w:customStyle="1" w:styleId="Funotenzeichen-Text">
    <w:name w:val="Fußnotenzeichen-Text"/>
    <w:qFormat/>
    <w:rPr>
      <w:vertAlign w:val="superscript"/>
    </w:rPr>
  </w:style>
  <w:style w:type="character" w:styleId="Collegamentoipertestuale">
    <w:name w:val="Hyperlink"/>
    <w:basedOn w:val="Carpredefinitoparagrafo"/>
    <w:rPr>
      <w:color w:val="000080"/>
      <w:w w:val="100"/>
      <w:u w:val="thick" w:color="000080"/>
    </w:rPr>
  </w:style>
  <w:style w:type="character" w:styleId="Numeropagina">
    <w:name w:val="page number"/>
    <w:basedOn w:val="Carpredefinitoparagrafo"/>
    <w:qFormat/>
  </w:style>
  <w:style w:type="character" w:customStyle="1" w:styleId="TestonotaapidipaginaCarattere">
    <w:name w:val="Testo nota a piè di pagina Carattere"/>
    <w:basedOn w:val="Carpredefinitoparagrafo"/>
    <w:link w:val="Testonotaapidipagina"/>
    <w:qFormat/>
    <w:rPr>
      <w:rFonts w:ascii="Times New Roman" w:hAnsi="Times New Roman"/>
      <w:sz w:val="20"/>
      <w:szCs w:val="20"/>
    </w:rPr>
  </w:style>
  <w:style w:type="character" w:customStyle="1" w:styleId="CitazioneintensaCarattere">
    <w:name w:val="Citazione intensa Carattere"/>
    <w:basedOn w:val="Carpredefinitoparagrafo"/>
    <w:link w:val="Citazioneintensa"/>
    <w:qFormat/>
    <w:rPr>
      <w:rFonts w:ascii="Libertinus Serif" w:hAnsi="Libertinus Serif"/>
      <w:bCs/>
      <w:sz w:val="20"/>
    </w:rPr>
  </w:style>
  <w:style w:type="character" w:customStyle="1" w:styleId="KapitlchenSmallCapital">
    <w:name w:val="Kapitälchen/Small Capital"/>
    <w:basedOn w:val="Carpredefinitoparagrafo"/>
    <w:qFormat/>
    <w:rPr>
      <w:smallCaps/>
    </w:rPr>
  </w:style>
  <w:style w:type="character" w:customStyle="1" w:styleId="Aufzhlungszeichen1">
    <w:name w:val="Aufzählungszeichen1"/>
    <w:qFormat/>
    <w:rPr>
      <w:rFonts w:ascii="OpenSymbol" w:eastAsia="OpenSymbol" w:hAnsi="OpenSymbol" w:cs="OpenSymbol"/>
    </w:rPr>
  </w:style>
  <w:style w:type="character" w:styleId="Rimandonotaapidipagina">
    <w:name w:val="footnote reference"/>
    <w:rPr>
      <w:vertAlign w:val="superscript"/>
    </w:rPr>
  </w:style>
  <w:style w:type="character" w:styleId="Rimandonotadichiusura">
    <w:name w:val="endnote reference"/>
    <w:rPr>
      <w:vertAlign w:val="superscript"/>
    </w:rPr>
  </w:style>
  <w:style w:type="character" w:customStyle="1" w:styleId="TestofumettoCarattere">
    <w:name w:val="Testo fumetto Carattere"/>
    <w:basedOn w:val="Carpredefinitoparagrafo"/>
    <w:link w:val="Testofumetto"/>
    <w:qFormat/>
    <w:rPr>
      <w:rFonts w:ascii="Tahoma" w:hAnsi="Tahoma" w:cs="Tahoma"/>
      <w:sz w:val="16"/>
      <w:szCs w:val="16"/>
    </w:rPr>
  </w:style>
  <w:style w:type="paragraph" w:customStyle="1" w:styleId="berschrift">
    <w:name w:val="Überschrift"/>
    <w:basedOn w:val="Titolo1"/>
    <w:next w:val="Corpotesto"/>
    <w:qFormat/>
    <w:pPr>
      <w:spacing w:before="240" w:after="120"/>
    </w:pPr>
    <w:rPr>
      <w:rFonts w:ascii="Liberation Sans" w:eastAsia="Noto Sans CJK SC" w:hAnsi="Liberation Sans" w:cs="Droid Sans Devanagari"/>
      <w:szCs w:val="28"/>
    </w:rPr>
  </w:style>
  <w:style w:type="paragraph" w:styleId="Corpotesto">
    <w:name w:val="Body Text"/>
    <w:basedOn w:val="Normale"/>
    <w:pPr>
      <w:spacing w:before="0" w:after="140" w:line="276" w:lineRule="auto"/>
    </w:pPr>
  </w:style>
  <w:style w:type="paragraph" w:styleId="Elenco">
    <w:name w:val="List"/>
    <w:basedOn w:val="Corpotesto"/>
    <w:rPr>
      <w:rFonts w:cs="Droid Sans Devanagari"/>
    </w:rPr>
  </w:style>
  <w:style w:type="paragraph" w:styleId="Didascalia">
    <w:name w:val="caption"/>
    <w:basedOn w:val="Normale"/>
    <w:qFormat/>
    <w:pPr>
      <w:suppressLineNumbers/>
      <w:spacing w:after="227" w:line="232" w:lineRule="exact"/>
    </w:pPr>
    <w:rPr>
      <w:rFonts w:cs="Droid Sans Devanagari"/>
      <w:iCs/>
      <w:sz w:val="19"/>
      <w:szCs w:val="24"/>
    </w:rPr>
  </w:style>
  <w:style w:type="paragraph" w:customStyle="1" w:styleId="Verzeichnis">
    <w:name w:val="Verzeichnis"/>
    <w:basedOn w:val="Normale"/>
    <w:qFormat/>
    <w:pPr>
      <w:suppressLineNumbers/>
    </w:pPr>
    <w:rPr>
      <w:rFonts w:cs="Droid Sans Devanagari"/>
    </w:rPr>
  </w:style>
  <w:style w:type="paragraph" w:styleId="Titolo">
    <w:name w:val="Title"/>
    <w:basedOn w:val="Normale"/>
    <w:next w:val="Normale"/>
    <w:link w:val="TitoloCarattere"/>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Citazione">
    <w:name w:val="Quote"/>
    <w:basedOn w:val="Normale"/>
    <w:next w:val="Normale"/>
    <w:link w:val="CitazioneCarattere"/>
    <w:qFormat/>
    <w:pPr>
      <w:spacing w:line="250" w:lineRule="exact"/>
      <w:ind w:left="794" w:right="794"/>
    </w:pPr>
    <w:rPr>
      <w:iCs/>
      <w:sz w:val="20"/>
    </w:rPr>
  </w:style>
  <w:style w:type="paragraph" w:styleId="Sottotitolo">
    <w:name w:val="Subtitle"/>
    <w:basedOn w:val="Normale"/>
    <w:next w:val="Normale"/>
    <w:link w:val="SottotitoloCarattere"/>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olo"/>
    <w:qFormat/>
    <w:pPr>
      <w:spacing w:before="0" w:line="340" w:lineRule="exact"/>
    </w:pPr>
    <w:rPr>
      <w:b w:val="0"/>
      <w:color w:val="auto"/>
      <w:sz w:val="26"/>
    </w:rPr>
  </w:style>
  <w:style w:type="paragraph" w:styleId="Paragrafoelenco">
    <w:name w:val="List Paragraph"/>
    <w:basedOn w:val="Normale"/>
    <w:qFormat/>
    <w:pPr>
      <w:tabs>
        <w:tab w:val="left" w:pos="0"/>
      </w:tabs>
      <w:ind w:left="284" w:hanging="284"/>
      <w:contextualSpacing/>
    </w:pPr>
  </w:style>
  <w:style w:type="paragraph" w:customStyle="1" w:styleId="Example">
    <w:name w:val="Example"/>
    <w:basedOn w:val="Normale"/>
    <w:qFormat/>
    <w:rsid w:val="00A54BA3"/>
    <w:pPr>
      <w:numPr>
        <w:numId w:val="3"/>
      </w:numPr>
      <w:spacing w:before="57" w:after="57" w:line="240" w:lineRule="exact"/>
      <w:ind w:left="454" w:hanging="454"/>
    </w:pPr>
    <w:rPr>
      <w:sz w:val="20"/>
    </w:rPr>
  </w:style>
  <w:style w:type="paragraph" w:customStyle="1" w:styleId="Kopf-undFuzeile">
    <w:name w:val="Kopf- und Fußzeile"/>
    <w:basedOn w:val="Normale"/>
    <w:qFormat/>
  </w:style>
  <w:style w:type="paragraph" w:styleId="Intestazione">
    <w:name w:val="header"/>
    <w:basedOn w:val="Normale"/>
    <w:link w:val="IntestazioneCarattere"/>
    <w:pPr>
      <w:tabs>
        <w:tab w:val="center" w:pos="4536"/>
        <w:tab w:val="right" w:pos="9072"/>
      </w:tabs>
      <w:spacing w:before="0" w:line="240" w:lineRule="auto"/>
    </w:pPr>
  </w:style>
  <w:style w:type="paragraph" w:styleId="Pidipagina">
    <w:name w:val="footer"/>
    <w:basedOn w:val="Normale"/>
    <w:link w:val="PidipaginaCarattere"/>
    <w:pPr>
      <w:tabs>
        <w:tab w:val="center" w:pos="4536"/>
        <w:tab w:val="right" w:pos="9072"/>
      </w:tabs>
      <w:spacing w:before="0" w:line="240" w:lineRule="auto"/>
    </w:pPr>
  </w:style>
  <w:style w:type="paragraph" w:customStyle="1" w:styleId="FunoteFootnote">
    <w:name w:val="Fußnote/Footnote"/>
    <w:basedOn w:val="Testonotaapidipagina"/>
    <w:qFormat/>
    <w:pPr>
      <w:tabs>
        <w:tab w:val="left" w:pos="283"/>
      </w:tabs>
      <w:spacing w:line="230" w:lineRule="atLeast"/>
      <w:ind w:left="284" w:hanging="284"/>
      <w:textAlignment w:val="center"/>
    </w:pPr>
    <w:rPr>
      <w:rFonts w:cs="Times New Roman"/>
    </w:rPr>
  </w:style>
  <w:style w:type="paragraph" w:styleId="Testonotaapidipagina">
    <w:name w:val="footnote text"/>
    <w:basedOn w:val="Normale"/>
    <w:link w:val="TestonotaapidipaginaCarattere"/>
    <w:pPr>
      <w:spacing w:before="0" w:line="232" w:lineRule="exact"/>
      <w:ind w:left="283" w:hanging="283"/>
    </w:pPr>
    <w:rPr>
      <w:sz w:val="19"/>
      <w:szCs w:val="20"/>
    </w:rPr>
  </w:style>
  <w:style w:type="paragraph" w:customStyle="1" w:styleId="Keywords">
    <w:name w:val="Keywords"/>
    <w:basedOn w:val="Normale"/>
    <w:qFormat/>
    <w:rPr>
      <w:sz w:val="20"/>
    </w:rPr>
  </w:style>
  <w:style w:type="paragraph" w:styleId="Citazioneintensa">
    <w:name w:val="Intense Quote"/>
    <w:basedOn w:val="Citazione"/>
    <w:next w:val="Normale"/>
    <w:link w:val="CitazioneintensaCarattere"/>
    <w:qFormat/>
    <w:rPr>
      <w:bCs/>
      <w:iCs w:val="0"/>
    </w:rPr>
  </w:style>
  <w:style w:type="paragraph" w:customStyle="1" w:styleId="ReferenceEntry">
    <w:name w:val="Reference Entry"/>
    <w:basedOn w:val="Normale"/>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Corpotesto"/>
    <w:qFormat/>
    <w:pPr>
      <w:spacing w:after="0"/>
      <w:ind w:left="283" w:hanging="283"/>
    </w:pPr>
  </w:style>
  <w:style w:type="paragraph" w:customStyle="1" w:styleId="Tabelleninhalt">
    <w:name w:val="Tabelleninhalt"/>
    <w:basedOn w:val="Normale"/>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Titoloindice">
    <w:name w:val="index heading"/>
    <w:basedOn w:val="Titolo1"/>
    <w:autoRedefine/>
  </w:style>
  <w:style w:type="paragraph" w:styleId="Indicefonti">
    <w:name w:val="table of authorities"/>
    <w:basedOn w:val="Titolo1"/>
    <w:autoRedefine/>
    <w:pPr>
      <w:suppressLineNumbers/>
    </w:pPr>
  </w:style>
  <w:style w:type="paragraph" w:styleId="Formuladichiusura">
    <w:name w:val="Closing"/>
    <w:basedOn w:val="berschrift"/>
    <w:next w:val="Corpotesto"/>
    <w:qFormat/>
    <w:pPr>
      <w:jc w:val="center"/>
    </w:pPr>
    <w:rPr>
      <w:bCs/>
      <w:szCs w:val="32"/>
    </w:rPr>
  </w:style>
  <w:style w:type="paragraph" w:styleId="Titolosommario">
    <w:name w:val="TOC Heading"/>
    <w:basedOn w:val="Titoloindice"/>
  </w:style>
  <w:style w:type="paragraph" w:customStyle="1" w:styleId="Abbildungsindexberschriften">
    <w:name w:val="Abbildungsindex Überschriften"/>
    <w:basedOn w:val="Titoloindice"/>
    <w:qFormat/>
  </w:style>
  <w:style w:type="paragraph" w:customStyle="1" w:styleId="OLtext">
    <w:name w:val="OL text"/>
    <w:basedOn w:val="Normale"/>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Normale"/>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Normale"/>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Testofumetto">
    <w:name w:val="Balloon Text"/>
    <w:basedOn w:val="Normale"/>
    <w:link w:val="TestofumettoCarattere"/>
    <w:qFormat/>
    <w:pPr>
      <w:spacing w:before="0" w:line="240" w:lineRule="auto"/>
    </w:pPr>
    <w:rPr>
      <w:rFonts w:ascii="Tahoma" w:hAnsi="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muster@ids-mannheim.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Pages>
  <Words>694</Words>
  <Characters>3959</Characters>
  <Application>Microsoft Office Word</Application>
  <DocSecurity>0</DocSecurity>
  <Lines>32</Lines>
  <Paragraphs>9</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4644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Adriano Murelli</cp:lastModifiedBy>
  <cp:revision>10</cp:revision>
  <cp:lastPrinted>2023-03-11T11:57:00Z</cp:lastPrinted>
  <dcterms:created xsi:type="dcterms:W3CDTF">2023-03-12T06:57:00Z</dcterms:created>
  <dcterms:modified xsi:type="dcterms:W3CDTF">2023-04-18T08:42:00Z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