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F32E39">
      <w:pPr>
        <w:pStyle w:val="Author"/>
      </w:pPr>
      <w:r>
        <w:t>Uwe-A. Küttner</w:t>
      </w:r>
    </w:p>
    <w:p w:rsidR="00AB181E" w:rsidRDefault="00F32E39">
      <w:pPr>
        <w:pStyle w:val="Titel"/>
      </w:pPr>
      <w:r>
        <w:t>Formulating Problem Behavior</w:t>
      </w:r>
    </w:p>
    <w:p w:rsidR="00AB181E" w:rsidRDefault="00F32E39">
      <w:pPr>
        <w:pStyle w:val="Untertitel"/>
      </w:pPr>
      <w:r>
        <w:t>Action descriptions in direct social sanctionings of transgressions and misconduct across (European) languages and cultures</w:t>
      </w:r>
    </w:p>
    <w:p w:rsidR="00AB181E" w:rsidRDefault="00224AA6">
      <w:pPr>
        <w:pStyle w:val="Keywords"/>
        <w:jc w:val="left"/>
      </w:pPr>
      <w:r>
        <w:rPr>
          <w:b/>
          <w:szCs w:val="20"/>
        </w:rPr>
        <w:t>Keywords:</w:t>
      </w:r>
      <w:r>
        <w:rPr>
          <w:szCs w:val="20"/>
        </w:rPr>
        <w:t xml:space="preserve"> </w:t>
      </w:r>
      <w:r w:rsidR="00F257B7">
        <w:rPr>
          <w:szCs w:val="20"/>
        </w:rPr>
        <w:t>cross-linguistic</w:t>
      </w:r>
      <w:r w:rsidR="00F32E39">
        <w:rPr>
          <w:szCs w:val="20"/>
        </w:rPr>
        <w:t xml:space="preserve"> Conversation Analysis, word selection</w:t>
      </w:r>
      <w:r w:rsidR="00F257B7">
        <w:rPr>
          <w:szCs w:val="20"/>
        </w:rPr>
        <w:t>, accountability</w:t>
      </w:r>
    </w:p>
    <w:p w:rsidR="00F32E39" w:rsidRDefault="00F32E39" w:rsidP="00F32E39">
      <w:pPr>
        <w:rPr>
          <w:rFonts w:ascii="Times New Roman" w:hAnsi="Times New Roman" w:cs="Times New Roman"/>
          <w:sz w:val="24"/>
          <w:szCs w:val="24"/>
          <w:lang w:val="en-US"/>
        </w:rPr>
      </w:pPr>
      <w:r w:rsidRPr="00B3382B">
        <w:rPr>
          <w:rFonts w:ascii="Times New Roman" w:hAnsi="Times New Roman" w:cs="Times New Roman"/>
          <w:sz w:val="24"/>
          <w:szCs w:val="24"/>
          <w:lang w:val="en-US"/>
        </w:rPr>
        <w:t xml:space="preserve">Interactants who encounter co-participant conduct </w:t>
      </w:r>
      <w:r>
        <w:rPr>
          <w:rFonts w:ascii="Times New Roman" w:hAnsi="Times New Roman" w:cs="Times New Roman"/>
          <w:sz w:val="24"/>
          <w:szCs w:val="24"/>
          <w:lang w:val="en-US"/>
        </w:rPr>
        <w:t>which</w:t>
      </w:r>
      <w:r w:rsidRPr="00B3382B">
        <w:rPr>
          <w:rFonts w:ascii="Times New Roman" w:hAnsi="Times New Roman" w:cs="Times New Roman"/>
          <w:sz w:val="24"/>
          <w:szCs w:val="24"/>
          <w:lang w:val="en-US"/>
        </w:rPr>
        <w:t xml:space="preserve"> they find to be socio-normatively problematic </w:t>
      </w:r>
      <w:r>
        <w:rPr>
          <w:rFonts w:ascii="Times New Roman" w:hAnsi="Times New Roman" w:cs="Times New Roman"/>
          <w:sz w:val="24"/>
          <w:szCs w:val="24"/>
          <w:lang w:val="en-US"/>
        </w:rPr>
        <w:t>or troublesome</w:t>
      </w:r>
      <w:r w:rsidRPr="00B3382B">
        <w:rPr>
          <w:rFonts w:ascii="Times New Roman" w:hAnsi="Times New Roman" w:cs="Times New Roman"/>
          <w:sz w:val="24"/>
          <w:szCs w:val="24"/>
          <w:lang w:val="en-US"/>
        </w:rPr>
        <w:t xml:space="preserve"> are faced with a range of choices. First and foremost, this includes the issue of whether to </w:t>
      </w:r>
      <w:r>
        <w:rPr>
          <w:rFonts w:ascii="Times New Roman" w:hAnsi="Times New Roman" w:cs="Times New Roman"/>
          <w:sz w:val="24"/>
          <w:szCs w:val="24"/>
          <w:lang w:val="en-US"/>
        </w:rPr>
        <w:t xml:space="preserve">directly </w:t>
      </w:r>
      <w:r w:rsidRPr="00B3382B">
        <w:rPr>
          <w:rFonts w:ascii="Times New Roman" w:hAnsi="Times New Roman" w:cs="Times New Roman"/>
          <w:sz w:val="24"/>
          <w:szCs w:val="24"/>
          <w:lang w:val="en-US"/>
        </w:rPr>
        <w:t xml:space="preserve">address </w:t>
      </w:r>
      <w:r>
        <w:rPr>
          <w:rFonts w:ascii="Times New Roman" w:hAnsi="Times New Roman" w:cs="Times New Roman"/>
          <w:sz w:val="24"/>
          <w:szCs w:val="24"/>
          <w:lang w:val="en-US"/>
        </w:rPr>
        <w:t xml:space="preserve">it, </w:t>
      </w:r>
      <w:r w:rsidRPr="00B3382B">
        <w:rPr>
          <w:rFonts w:ascii="Times New Roman" w:hAnsi="Times New Roman" w:cs="Times New Roman"/>
          <w:sz w:val="24"/>
          <w:szCs w:val="24"/>
          <w:lang w:val="en-US"/>
        </w:rPr>
        <w:t xml:space="preserve">or to simply </w:t>
      </w:r>
      <w:r>
        <w:rPr>
          <w:rFonts w:ascii="Times New Roman" w:hAnsi="Times New Roman" w:cs="Times New Roman"/>
          <w:sz w:val="24"/>
          <w:szCs w:val="24"/>
          <w:lang w:val="en-US"/>
        </w:rPr>
        <w:t>‘</w:t>
      </w:r>
      <w:r w:rsidRPr="00B3382B">
        <w:rPr>
          <w:rFonts w:ascii="Times New Roman" w:hAnsi="Times New Roman" w:cs="Times New Roman"/>
          <w:sz w:val="24"/>
          <w:szCs w:val="24"/>
          <w:lang w:val="en-US"/>
        </w:rPr>
        <w:t>let it pass</w:t>
      </w:r>
      <w:r>
        <w:rPr>
          <w:rFonts w:ascii="Times New Roman" w:hAnsi="Times New Roman" w:cs="Times New Roman"/>
          <w:sz w:val="24"/>
          <w:szCs w:val="24"/>
          <w:lang w:val="en-US"/>
        </w:rPr>
        <w:t xml:space="preserve">’ (at least for now) </w:t>
      </w:r>
      <w:r w:rsidR="009234EA" w:rsidRPr="009234EA">
        <w:rPr>
          <w:rFonts w:ascii="Times New Roman" w:hAnsi="Times New Roman" w:cs="Times New Roman"/>
          <w:sz w:val="24"/>
        </w:rPr>
        <w:t>(Emerson/Messinger 1977)</w:t>
      </w:r>
      <w:r w:rsidRPr="00B3382B">
        <w:rPr>
          <w:rFonts w:ascii="Times New Roman" w:hAnsi="Times New Roman" w:cs="Times New Roman"/>
          <w:sz w:val="24"/>
          <w:szCs w:val="24"/>
          <w:lang w:val="en-US"/>
        </w:rPr>
        <w:t>.</w:t>
      </w:r>
      <w:r>
        <w:rPr>
          <w:rFonts w:ascii="Times New Roman" w:hAnsi="Times New Roman" w:cs="Times New Roman"/>
          <w:sz w:val="24"/>
          <w:szCs w:val="24"/>
          <w:lang w:val="en-US"/>
        </w:rPr>
        <w:t xml:space="preserve"> In the case of the former, the issue then becomes </w:t>
      </w:r>
      <w:r>
        <w:rPr>
          <w:rFonts w:ascii="Times New Roman" w:hAnsi="Times New Roman" w:cs="Times New Roman"/>
          <w:i/>
          <w:sz w:val="24"/>
          <w:szCs w:val="24"/>
          <w:lang w:val="en-US"/>
        </w:rPr>
        <w:t xml:space="preserve">how </w:t>
      </w:r>
      <w:r>
        <w:rPr>
          <w:rFonts w:ascii="Times New Roman" w:hAnsi="Times New Roman" w:cs="Times New Roman"/>
          <w:sz w:val="24"/>
          <w:szCs w:val="24"/>
          <w:lang w:val="en-US"/>
        </w:rPr>
        <w:t xml:space="preserve">to address it. Across the various ways in which participants can pragmatically engage with what they perceive to be transgressive or untoward behavior </w:t>
      </w:r>
      <w:r w:rsidR="009234EA" w:rsidRPr="009234EA">
        <w:rPr>
          <w:rFonts w:ascii="Times New Roman" w:hAnsi="Times New Roman" w:cs="Times New Roman"/>
          <w:sz w:val="24"/>
          <w:szCs w:val="24"/>
        </w:rPr>
        <w:t>(e.g., Pomerantz 1978; Schegloff 1988b; Dersley/Wootton 2000; Günthner 2000; Bolden/Robinson 2011; Potter/Hepburn 2020; see also Rodriguez 2022)</w:t>
      </w:r>
      <w:r>
        <w:rPr>
          <w:rFonts w:ascii="Times New Roman" w:hAnsi="Times New Roman" w:cs="Times New Roman"/>
          <w:sz w:val="24"/>
          <w:szCs w:val="24"/>
          <w:lang w:val="en-US"/>
        </w:rPr>
        <w:t xml:space="preserve">, they sometimes meta-pragmatically formulate the co-participant’s doings in terms of specific actions. Such action descriptions are necessarily selective </w:t>
      </w:r>
      <w:r w:rsidR="009234EA" w:rsidRPr="009234EA">
        <w:rPr>
          <w:rFonts w:ascii="Times New Roman" w:hAnsi="Times New Roman" w:cs="Times New Roman"/>
          <w:sz w:val="24"/>
        </w:rPr>
        <w:t>(Sacks 1963; Schegloff 1972, 1988a; Sidnell/Barnes 2013)</w:t>
      </w:r>
      <w:r>
        <w:rPr>
          <w:rFonts w:ascii="Times New Roman" w:hAnsi="Times New Roman" w:cs="Times New Roman"/>
          <w:sz w:val="24"/>
          <w:szCs w:val="24"/>
          <w:lang w:val="en-US"/>
        </w:rPr>
        <w:t>: They foreground certain aspects of the co-participant’s conduct, while backgrounding others, and thus contribute to publically construeing the formulated conduct in particular ways</w:t>
      </w:r>
      <w:r w:rsidR="00F257B7">
        <w:rPr>
          <w:rFonts w:ascii="Times New Roman" w:hAnsi="Times New Roman" w:cs="Times New Roman"/>
          <w:sz w:val="24"/>
          <w:szCs w:val="24"/>
          <w:lang w:val="en-US"/>
        </w:rPr>
        <w:t xml:space="preserve"> </w:t>
      </w:r>
      <w:r w:rsidR="00F257B7" w:rsidRPr="00F257B7">
        <w:rPr>
          <w:rFonts w:ascii="Times New Roman" w:hAnsi="Times New Roman" w:cs="Times New Roman"/>
          <w:sz w:val="24"/>
        </w:rPr>
        <w:t>(Jayyusi 1993)</w:t>
      </w:r>
      <w:r>
        <w:rPr>
          <w:rFonts w:ascii="Times New Roman" w:hAnsi="Times New Roman" w:cs="Times New Roman"/>
          <w:sz w:val="24"/>
          <w:szCs w:val="24"/>
          <w:lang w:val="en-US"/>
        </w:rPr>
        <w:t xml:space="preserve">, viz. </w:t>
      </w:r>
      <w:r w:rsidRPr="00780363">
        <w:rPr>
          <w:rFonts w:ascii="Times New Roman" w:hAnsi="Times New Roman" w:cs="Times New Roman"/>
          <w:i/>
          <w:sz w:val="24"/>
          <w:szCs w:val="24"/>
          <w:lang w:val="en-US"/>
        </w:rPr>
        <w:t>as</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socio-normatively problematic</w:t>
      </w:r>
      <w:r w:rsidRPr="00780363">
        <w:rPr>
          <w:rFonts w:ascii="Times New Roman" w:hAnsi="Times New Roman" w:cs="Times New Roman"/>
          <w:sz w:val="24"/>
          <w:szCs w:val="24"/>
          <w:lang w:val="en-US"/>
        </w:rPr>
        <w: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transgressive or untoward, and interactionally accountable </w:t>
      </w:r>
      <w:r w:rsidR="00F257B7" w:rsidRPr="00F257B7">
        <w:rPr>
          <w:rFonts w:ascii="Times New Roman" w:hAnsi="Times New Roman" w:cs="Times New Roman"/>
          <w:sz w:val="24"/>
        </w:rPr>
        <w:t>(Robinson 2016; Sidnell 2017)</w:t>
      </w:r>
      <w:r>
        <w:rPr>
          <w:rFonts w:ascii="Times New Roman" w:hAnsi="Times New Roman" w:cs="Times New Roman"/>
          <w:sz w:val="24"/>
          <w:szCs w:val="24"/>
          <w:lang w:val="en-US"/>
        </w:rPr>
        <w:t xml:space="preserve">. Consider </w:t>
      </w:r>
      <w:r w:rsidR="009234EA">
        <w:rPr>
          <w:rFonts w:ascii="Times New Roman" w:hAnsi="Times New Roman" w:cs="Times New Roman"/>
          <w:sz w:val="24"/>
          <w:szCs w:val="24"/>
          <w:lang w:val="en-US"/>
        </w:rPr>
        <w:t>th</w:t>
      </w:r>
      <w:r w:rsidR="00F257B7">
        <w:rPr>
          <w:rFonts w:ascii="Times New Roman" w:hAnsi="Times New Roman" w:cs="Times New Roman"/>
          <w:sz w:val="24"/>
          <w:szCs w:val="24"/>
          <w:lang w:val="en-US"/>
        </w:rPr>
        <w:t>e following</w:t>
      </w:r>
      <w:r w:rsidR="009234EA">
        <w:rPr>
          <w:rFonts w:ascii="Times New Roman" w:hAnsi="Times New Roman" w:cs="Times New Roman"/>
          <w:sz w:val="24"/>
          <w:szCs w:val="24"/>
          <w:lang w:val="en-US"/>
        </w:rPr>
        <w:t xml:space="preserve"> case</w:t>
      </w:r>
      <w:r>
        <w:rPr>
          <w:rFonts w:ascii="Times New Roman" w:hAnsi="Times New Roman" w:cs="Times New Roman"/>
          <w:sz w:val="24"/>
          <w:szCs w:val="24"/>
          <w:lang w:val="en-US"/>
        </w:rPr>
        <w:t xml:space="preserve"> from an English family breakfast.</w:t>
      </w:r>
      <w:r w:rsidRPr="00E25518">
        <w:rPr>
          <w:rFonts w:ascii="Times New Roman" w:hAnsi="Times New Roman" w:cs="Times New Roman"/>
          <w:sz w:val="24"/>
          <w:szCs w:val="24"/>
          <w:lang w:val="en-US"/>
        </w:rPr>
        <w:t xml:space="preserve"> </w:t>
      </w:r>
    </w:p>
    <w:p w:rsidR="00F32E39" w:rsidRPr="00E25518" w:rsidRDefault="00F32E39" w:rsidP="00F32E39">
      <w:pPr>
        <w:rPr>
          <w:rFonts w:ascii="Times New Roman" w:hAnsi="Times New Roman" w:cs="Times New Roman"/>
          <w:sz w:val="24"/>
          <w:szCs w:val="24"/>
          <w:lang w:val="en-US"/>
        </w:rPr>
      </w:pPr>
    </w:p>
    <w:p w:rsidR="00F32E39" w:rsidRDefault="00F32E39" w:rsidP="00F32E39">
      <w:pPr>
        <w:pStyle w:val="Listenabsatz"/>
        <w:numPr>
          <w:ilvl w:val="0"/>
          <w:numId w:val="4"/>
        </w:numPr>
        <w:tabs>
          <w:tab w:val="clear" w:pos="0"/>
        </w:tabs>
        <w:spacing w:before="0" w:after="120" w:line="240" w:lineRule="auto"/>
        <w:ind w:left="714" w:hanging="357"/>
        <w:jc w:val="left"/>
        <w:rPr>
          <w:rFonts w:ascii="Times New Roman" w:eastAsia="Times New Roman" w:hAnsi="Times New Roman" w:cs="Times New Roman"/>
          <w:b/>
          <w:sz w:val="24"/>
          <w:szCs w:val="16"/>
          <w:lang w:eastAsia="de-DE"/>
        </w:rPr>
      </w:pPr>
      <w:r w:rsidRPr="005E3ECE">
        <w:rPr>
          <w:rFonts w:ascii="Times New Roman" w:eastAsia="Times New Roman" w:hAnsi="Times New Roman" w:cs="Times New Roman"/>
          <w:b/>
          <w:sz w:val="24"/>
          <w:szCs w:val="16"/>
          <w:lang w:eastAsia="de-DE"/>
        </w:rPr>
        <w:t>PECII_EN_Brkfst_20210919</w:t>
      </w:r>
      <w:r>
        <w:rPr>
          <w:rFonts w:ascii="Times New Roman" w:eastAsia="Times New Roman" w:hAnsi="Times New Roman" w:cs="Times New Roman"/>
          <w:b/>
          <w:sz w:val="24"/>
          <w:szCs w:val="16"/>
          <w:lang w:eastAsia="de-DE"/>
        </w:rPr>
        <w:t>, 05:34-05:41</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01    </w:t>
      </w:r>
      <w:r w:rsidRPr="00D055BC">
        <w:rPr>
          <w:rFonts w:ascii="Courier New" w:eastAsia="Times New Roman" w:hAnsi="Courier New" w:cs="Courier New"/>
          <w:b/>
          <w:bCs/>
          <w:sz w:val="20"/>
          <w:szCs w:val="24"/>
          <w:lang w:eastAsia="de-DE"/>
        </w:rPr>
        <w:t xml:space="preserve">Mum:    </w:t>
      </w:r>
      <w:r w:rsidRPr="00D055BC">
        <w:rPr>
          <w:rFonts w:ascii="Courier New" w:eastAsia="Times New Roman" w:hAnsi="Courier New" w:cs="Courier New"/>
          <w:sz w:val="20"/>
          <w:szCs w:val="24"/>
          <w:lang w:eastAsia="de-DE"/>
        </w:rPr>
        <w:t>BEANS?</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02            </w:t>
      </w:r>
      <w:r w:rsidRPr="005E3ECE">
        <w:rPr>
          <w:rFonts w:ascii="Courier New" w:eastAsia="Times New Roman" w:hAnsi="Courier New" w:cs="Courier New"/>
          <w:sz w:val="20"/>
          <w:szCs w:val="24"/>
          <w:lang w:eastAsia="de-DE"/>
        </w:rPr>
        <w:t>(0.</w:t>
      </w:r>
      <w:r w:rsidRPr="00D055BC">
        <w:rPr>
          <w:rFonts w:ascii="Courier New" w:eastAsia="Times New Roman" w:hAnsi="Courier New" w:cs="Courier New"/>
          <w:sz w:val="20"/>
          <w:szCs w:val="24"/>
          <w:lang w:eastAsia="de-DE"/>
        </w:rPr>
        <w:t>3</w:t>
      </w:r>
      <w:r w:rsidRPr="005E3ECE">
        <w:rPr>
          <w:rFonts w:ascii="Courier New" w:eastAsia="Times New Roman" w:hAnsi="Courier New" w:cs="Courier New"/>
          <w:sz w:val="20"/>
          <w:szCs w:val="24"/>
          <w:lang w:eastAsia="de-DE"/>
        </w:rPr>
        <w:t>)</w:t>
      </w:r>
      <w:r w:rsidRPr="00D055BC">
        <w:rPr>
          <w:rFonts w:ascii="Courier New" w:eastAsia="Times New Roman" w:hAnsi="Courier New" w:cs="Courier New"/>
          <w:sz w:val="20"/>
          <w:szCs w:val="24"/>
          <w:lang w:eastAsia="de-DE"/>
        </w:rPr>
        <w:t>+(0.6)</w:t>
      </w:r>
    </w:p>
    <w:p w:rsidR="00F32E39" w:rsidRPr="00D055BC" w:rsidRDefault="00F32E39" w:rsidP="00F32E39">
      <w:pPr>
        <w:spacing w:line="240" w:lineRule="auto"/>
        <w:ind w:left="360"/>
        <w:rPr>
          <w:rFonts w:ascii="Courier New" w:eastAsia="Times New Roman" w:hAnsi="Courier New" w:cs="Courier New"/>
          <w:bCs/>
          <w:color w:val="808080"/>
          <w:sz w:val="20"/>
          <w:szCs w:val="24"/>
          <w:lang w:eastAsia="de-DE"/>
        </w:rPr>
      </w:pPr>
      <w:r w:rsidRPr="00D055BC">
        <w:rPr>
          <w:rFonts w:ascii="Courier New" w:eastAsia="Times New Roman" w:hAnsi="Courier New" w:cs="Courier New"/>
          <w:bCs/>
          <w:color w:val="808080"/>
          <w:sz w:val="20"/>
          <w:szCs w:val="24"/>
          <w:lang w:eastAsia="de-DE"/>
        </w:rPr>
        <w:t xml:space="preserve">      rut          +visibly swallowing and chewing--&gt;</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03    </w:t>
      </w:r>
      <w:r w:rsidRPr="00D055BC">
        <w:rPr>
          <w:rFonts w:ascii="Courier New" w:eastAsia="Times New Roman" w:hAnsi="Courier New" w:cs="Courier New"/>
          <w:b/>
          <w:bCs/>
          <w:sz w:val="20"/>
          <w:szCs w:val="24"/>
          <w:lang w:eastAsia="de-DE"/>
        </w:rPr>
        <w:t xml:space="preserve">Mum:    </w:t>
      </w:r>
      <w:r w:rsidRPr="00D055BC">
        <w:rPr>
          <w:rFonts w:ascii="Courier New" w:eastAsia="Times New Roman" w:hAnsi="Courier New" w:cs="Courier New"/>
          <w:sz w:val="20"/>
          <w:szCs w:val="24"/>
          <w:lang w:eastAsia="de-DE"/>
        </w:rPr>
        <w:t>RU</w:t>
      </w:r>
      <w:r w:rsidRPr="005E3ECE">
        <w:rPr>
          <w:rFonts w:ascii="Courier New" w:eastAsia="Times New Roman" w:hAnsi="Courier New" w:cs="Courier New"/>
          <w:sz w:val="20"/>
          <w:szCs w:val="24"/>
          <w:lang w:eastAsia="de-DE"/>
        </w:rPr>
        <w:t>thie</w:t>
      </w:r>
      <w:r w:rsidRPr="00D055BC">
        <w:rPr>
          <w:rFonts w:ascii="Courier New" w:eastAsia="Times New Roman" w:hAnsi="Courier New" w:cs="Courier New"/>
          <w:sz w:val="20"/>
          <w:szCs w:val="24"/>
          <w:lang w:eastAsia="de-DE"/>
        </w:rPr>
        <w:t>?</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04            </w:t>
      </w:r>
      <w:r w:rsidRPr="00D055BC">
        <w:rPr>
          <w:rFonts w:ascii="Courier New" w:eastAsia="Times New Roman" w:hAnsi="Courier New" w:cs="Courier New"/>
          <w:sz w:val="20"/>
          <w:szCs w:val="24"/>
          <w:lang w:eastAsia="de-DE"/>
        </w:rPr>
        <w:t>(0.7</w:t>
      </w:r>
      <w:r w:rsidRPr="005E3ECE">
        <w:rPr>
          <w:rFonts w:ascii="Courier New" w:eastAsia="Times New Roman" w:hAnsi="Courier New" w:cs="Courier New"/>
          <w:sz w:val="20"/>
          <w:szCs w:val="24"/>
          <w:lang w:eastAsia="de-DE"/>
        </w:rPr>
        <w:t xml:space="preserve">) </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05    </w:t>
      </w:r>
      <w:r w:rsidRPr="005E3ECE">
        <w:rPr>
          <w:rFonts w:ascii="Courier New" w:eastAsia="Times New Roman" w:hAnsi="Courier New" w:cs="Courier New"/>
          <w:b/>
          <w:bCs/>
          <w:sz w:val="20"/>
          <w:szCs w:val="24"/>
          <w:lang w:eastAsia="de-DE"/>
        </w:rPr>
        <w:t>Rut</w:t>
      </w:r>
      <w:r w:rsidRPr="00D055BC">
        <w:rPr>
          <w:rFonts w:ascii="Courier New" w:eastAsia="Times New Roman" w:hAnsi="Courier New" w:cs="Courier New"/>
          <w:b/>
          <w:bCs/>
          <w:sz w:val="20"/>
          <w:szCs w:val="24"/>
          <w:lang w:eastAsia="de-DE"/>
        </w:rPr>
        <w:t xml:space="preserve">:    </w:t>
      </w:r>
      <w:r w:rsidRPr="00D055BC">
        <w:rPr>
          <w:rFonts w:ascii="Courier New" w:eastAsia="Times New Roman" w:hAnsi="Courier New" w:cs="Courier New"/>
          <w:bCs/>
          <w:sz w:val="20"/>
          <w:szCs w:val="24"/>
          <w:lang w:eastAsia="de-DE"/>
        </w:rPr>
        <w:t xml:space="preserve">&lt;&lt;chewing&gt; </w:t>
      </w:r>
      <w:r w:rsidRPr="005E3ECE">
        <w:rPr>
          <w:rFonts w:ascii="Courier New" w:eastAsia="Times New Roman" w:hAnsi="Courier New" w:cs="Courier New"/>
          <w:sz w:val="20"/>
          <w:szCs w:val="24"/>
          <w:lang w:eastAsia="de-DE"/>
        </w:rPr>
        <w:t>i'm o</w:t>
      </w:r>
      <w:r w:rsidRPr="00D055BC">
        <w:rPr>
          <w:rFonts w:ascii="Courier New" w:eastAsia="Times New Roman" w:hAnsi="Courier New" w:cs="Courier New"/>
          <w:sz w:val="20"/>
          <w:szCs w:val="24"/>
          <w:lang w:eastAsia="de-DE"/>
        </w:rPr>
        <w:t>+KAY;&gt;</w:t>
      </w:r>
    </w:p>
    <w:p w:rsidR="00F32E39" w:rsidRPr="00D055BC" w:rsidRDefault="00F32E39" w:rsidP="00F32E39">
      <w:pPr>
        <w:spacing w:line="240" w:lineRule="auto"/>
        <w:ind w:left="360"/>
        <w:rPr>
          <w:rFonts w:ascii="Courier New" w:eastAsia="Times New Roman" w:hAnsi="Courier New" w:cs="Courier New"/>
          <w:bCs/>
          <w:color w:val="808080"/>
          <w:sz w:val="20"/>
          <w:szCs w:val="24"/>
          <w:lang w:eastAsia="de-DE"/>
        </w:rPr>
      </w:pPr>
      <w:r w:rsidRPr="00D055BC">
        <w:rPr>
          <w:rFonts w:ascii="Courier New" w:eastAsia="Times New Roman" w:hAnsi="Courier New" w:cs="Courier New"/>
          <w:bCs/>
          <w:color w:val="808080"/>
          <w:sz w:val="20"/>
          <w:szCs w:val="24"/>
          <w:lang w:eastAsia="de-DE"/>
        </w:rPr>
        <w:t xml:space="preserve">                           --&gt;+leading fork to mouth--&gt;</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06            </w:t>
      </w:r>
      <w:r w:rsidRPr="005E3ECE">
        <w:rPr>
          <w:rFonts w:ascii="Courier New" w:eastAsia="Times New Roman" w:hAnsi="Courier New" w:cs="Courier New"/>
          <w:sz w:val="20"/>
          <w:szCs w:val="24"/>
          <w:lang w:eastAsia="de-DE"/>
        </w:rPr>
        <w:t>(0.2</w:t>
      </w:r>
      <w:r w:rsidRPr="00D055BC">
        <w:rPr>
          <w:rFonts w:ascii="Courier New" w:eastAsia="Times New Roman" w:hAnsi="Courier New" w:cs="Courier New"/>
          <w:sz w:val="20"/>
          <w:szCs w:val="24"/>
          <w:lang w:eastAsia="de-DE"/>
        </w:rPr>
        <w:t>)</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07    </w:t>
      </w:r>
      <w:r w:rsidRPr="005E3ECE">
        <w:rPr>
          <w:rFonts w:ascii="Courier New" w:eastAsia="Times New Roman" w:hAnsi="Courier New" w:cs="Courier New"/>
          <w:b/>
          <w:bCs/>
          <w:sz w:val="20"/>
          <w:szCs w:val="24"/>
          <w:lang w:eastAsia="de-DE"/>
        </w:rPr>
        <w:t>Rut</w:t>
      </w:r>
      <w:r w:rsidRPr="00D055BC">
        <w:rPr>
          <w:rFonts w:ascii="Courier New" w:eastAsia="Times New Roman" w:hAnsi="Courier New" w:cs="Courier New"/>
          <w:b/>
          <w:bCs/>
          <w:sz w:val="20"/>
          <w:szCs w:val="24"/>
          <w:lang w:eastAsia="de-DE"/>
        </w:rPr>
        <w:t xml:space="preserve">:    </w:t>
      </w:r>
      <w:r w:rsidRPr="00D055BC">
        <w:rPr>
          <w:rFonts w:ascii="Courier New" w:eastAsia="Times New Roman" w:hAnsi="Courier New" w:cs="Courier New"/>
          <w:bCs/>
          <w:sz w:val="20"/>
          <w:szCs w:val="24"/>
          <w:lang w:eastAsia="de-DE"/>
        </w:rPr>
        <w:t>&lt;&lt;chewing&gt;</w:t>
      </w:r>
      <w:r w:rsidRPr="00D055BC">
        <w:rPr>
          <w:rFonts w:ascii="Courier New" w:eastAsia="Times New Roman" w:hAnsi="Courier New" w:cs="Courier New"/>
          <w:b/>
          <w:bCs/>
          <w:sz w:val="20"/>
          <w:szCs w:val="24"/>
          <w:lang w:eastAsia="de-DE"/>
        </w:rPr>
        <w:t xml:space="preserve"> </w:t>
      </w:r>
      <w:r w:rsidRPr="00D055BC">
        <w:rPr>
          <w:rFonts w:ascii="Courier New" w:eastAsia="Times New Roman" w:hAnsi="Courier New" w:cs="Courier New"/>
          <w:sz w:val="20"/>
          <w:szCs w:val="24"/>
          <w:lang w:eastAsia="de-DE"/>
        </w:rPr>
        <w:t>(mum)&gt;</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08            </w:t>
      </w:r>
      <w:r w:rsidRPr="00F32E39">
        <w:rPr>
          <w:rFonts w:ascii="Courier New" w:eastAsia="Times New Roman" w:hAnsi="Courier New" w:cs="Courier New"/>
          <w:bCs/>
          <w:sz w:val="20"/>
          <w:szCs w:val="24"/>
          <w:lang w:eastAsia="de-DE"/>
        </w:rPr>
        <w:t>(0.7)+</w:t>
      </w:r>
      <w:r w:rsidRPr="00F32E39">
        <w:rPr>
          <w:rFonts w:ascii="Courier New" w:eastAsia="Times New Roman" w:hAnsi="Courier New" w:cs="Courier New"/>
          <w:sz w:val="20"/>
          <w:szCs w:val="24"/>
          <w:lang w:eastAsia="de-DE"/>
        </w:rPr>
        <w:t>(</w:t>
      </w:r>
      <w:r w:rsidRPr="00D055BC">
        <w:rPr>
          <w:rFonts w:ascii="Courier New" w:eastAsia="Times New Roman" w:hAnsi="Courier New" w:cs="Courier New"/>
          <w:sz w:val="20"/>
          <w:szCs w:val="24"/>
          <w:lang w:eastAsia="de-DE"/>
        </w:rPr>
        <w:t>0</w:t>
      </w:r>
      <w:r w:rsidRPr="005E3ECE">
        <w:rPr>
          <w:rFonts w:ascii="Courier New" w:eastAsia="Times New Roman" w:hAnsi="Courier New" w:cs="Courier New"/>
          <w:sz w:val="20"/>
          <w:szCs w:val="24"/>
          <w:lang w:eastAsia="de-DE"/>
        </w:rPr>
        <w:t>.</w:t>
      </w:r>
      <w:r w:rsidRPr="00D055BC">
        <w:rPr>
          <w:rFonts w:ascii="Courier New" w:eastAsia="Times New Roman" w:hAnsi="Courier New" w:cs="Courier New"/>
          <w:sz w:val="20"/>
          <w:szCs w:val="24"/>
          <w:lang w:eastAsia="de-DE"/>
        </w:rPr>
        <w:t>4</w:t>
      </w:r>
      <w:r w:rsidRPr="005E3ECE">
        <w:rPr>
          <w:rFonts w:ascii="Courier New" w:eastAsia="Times New Roman" w:hAnsi="Courier New" w:cs="Courier New"/>
          <w:sz w:val="20"/>
          <w:szCs w:val="24"/>
          <w:lang w:eastAsia="de-DE"/>
        </w:rPr>
        <w:t xml:space="preserve">) </w:t>
      </w:r>
    </w:p>
    <w:p w:rsidR="00F32E39" w:rsidRPr="00D055BC" w:rsidRDefault="00F32E39" w:rsidP="00F32E39">
      <w:pPr>
        <w:spacing w:line="240" w:lineRule="auto"/>
        <w:ind w:left="360"/>
        <w:rPr>
          <w:rFonts w:ascii="Courier New" w:eastAsia="Times New Roman" w:hAnsi="Courier New" w:cs="Courier New"/>
          <w:bCs/>
          <w:color w:val="808080"/>
          <w:sz w:val="20"/>
          <w:szCs w:val="24"/>
          <w:lang w:eastAsia="de-DE"/>
        </w:rPr>
      </w:pPr>
      <w:r w:rsidRPr="00D055BC">
        <w:rPr>
          <w:rFonts w:ascii="Courier New" w:eastAsia="Times New Roman" w:hAnsi="Courier New" w:cs="Courier New"/>
          <w:bCs/>
          <w:color w:val="808080"/>
          <w:sz w:val="20"/>
          <w:szCs w:val="24"/>
          <w:lang w:eastAsia="de-DE"/>
        </w:rPr>
        <w:t xml:space="preserve">      rut       --&gt;+fork in mouth, continuous chewing--&gt;&gt;</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09 =&gt; </w:t>
      </w:r>
      <w:r w:rsidRPr="00D055BC">
        <w:rPr>
          <w:rFonts w:ascii="Courier New" w:eastAsia="Times New Roman" w:hAnsi="Courier New" w:cs="Courier New"/>
          <w:b/>
          <w:bCs/>
          <w:sz w:val="20"/>
          <w:szCs w:val="24"/>
          <w:lang w:eastAsia="de-DE"/>
        </w:rPr>
        <w:t xml:space="preserve">Mum:    </w:t>
      </w:r>
      <w:r w:rsidRPr="005E3ECE">
        <w:rPr>
          <w:rFonts w:ascii="Courier New" w:eastAsia="Times New Roman" w:hAnsi="Courier New" w:cs="Courier New"/>
          <w:sz w:val="20"/>
          <w:szCs w:val="24"/>
          <w:lang w:eastAsia="de-DE"/>
        </w:rPr>
        <w:t>(hm/don't) sh</w:t>
      </w:r>
      <w:r w:rsidRPr="00D055BC">
        <w:rPr>
          <w:rFonts w:ascii="Courier New" w:eastAsia="Times New Roman" w:hAnsi="Courier New" w:cs="Courier New"/>
          <w:sz w:val="20"/>
          <w:szCs w:val="24"/>
          <w:lang w:eastAsia="de-DE"/>
        </w:rPr>
        <w:t>o</w:t>
      </w:r>
      <w:r w:rsidRPr="005E3ECE">
        <w:rPr>
          <w:rFonts w:ascii="Courier New" w:eastAsia="Times New Roman" w:hAnsi="Courier New" w:cs="Courier New"/>
          <w:sz w:val="20"/>
          <w:szCs w:val="24"/>
          <w:lang w:eastAsia="de-DE"/>
        </w:rPr>
        <w:t xml:space="preserve">vel it </w:t>
      </w:r>
      <w:r w:rsidRPr="00D055BC">
        <w:rPr>
          <w:rFonts w:ascii="Courier New" w:eastAsia="Times New Roman" w:hAnsi="Courier New" w:cs="Courier New"/>
          <w:sz w:val="20"/>
          <w:szCs w:val="24"/>
          <w:lang w:eastAsia="de-DE"/>
        </w:rPr>
        <w:t>IN;</w:t>
      </w:r>
      <w:r w:rsidRPr="005E3ECE">
        <w:rPr>
          <w:rFonts w:ascii="Courier New" w:eastAsia="Times New Roman" w:hAnsi="Courier New" w:cs="Courier New"/>
          <w:sz w:val="20"/>
          <w:szCs w:val="24"/>
          <w:lang w:eastAsia="de-DE"/>
        </w:rPr>
        <w:t xml:space="preserve"> ((clears throat)) </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b/>
          <w:bCs/>
          <w:color w:val="808080"/>
          <w:sz w:val="20"/>
          <w:szCs w:val="24"/>
          <w:lang w:eastAsia="de-DE"/>
        </w:rPr>
        <w:t xml:space="preserve">10    </w:t>
      </w:r>
      <w:r w:rsidRPr="00D055BC">
        <w:rPr>
          <w:rFonts w:ascii="Courier New" w:eastAsia="Times New Roman" w:hAnsi="Courier New" w:cs="Courier New"/>
          <w:b/>
          <w:bCs/>
          <w:sz w:val="20"/>
          <w:szCs w:val="24"/>
          <w:lang w:eastAsia="de-DE"/>
        </w:rPr>
        <w:t>Rut:</w:t>
      </w:r>
      <w:r w:rsidRPr="00D055BC">
        <w:rPr>
          <w:rFonts w:ascii="Courier New" w:eastAsia="Times New Roman" w:hAnsi="Courier New" w:cs="Courier New"/>
          <w:b/>
          <w:bCs/>
          <w:color w:val="808080"/>
          <w:sz w:val="20"/>
          <w:szCs w:val="24"/>
          <w:lang w:eastAsia="de-DE"/>
        </w:rPr>
        <w:t xml:space="preserve">    </w:t>
      </w:r>
      <w:r w:rsidRPr="00F32E39">
        <w:rPr>
          <w:rFonts w:ascii="Courier New" w:eastAsia="Times New Roman" w:hAnsi="Courier New" w:cs="Courier New"/>
          <w:bCs/>
          <w:sz w:val="20"/>
          <w:szCs w:val="24"/>
          <w:lang w:eastAsia="de-DE"/>
        </w:rPr>
        <w:t>+ʔ</w:t>
      </w:r>
      <w:r w:rsidRPr="00F32E39">
        <w:rPr>
          <w:rFonts w:ascii="Courier New" w:eastAsia="Times New Roman" w:hAnsi="Courier New" w:cs="Courier New"/>
          <w:sz w:val="20"/>
          <w:szCs w:val="24"/>
          <w:lang w:eastAsia="de-DE"/>
        </w:rPr>
        <w:t>h</w:t>
      </w:r>
      <w:r w:rsidRPr="00D055BC">
        <w:rPr>
          <w:rFonts w:ascii="Courier New" w:eastAsia="Times New Roman" w:hAnsi="Courier New" w:cs="Courier New"/>
          <w:sz w:val="20"/>
          <w:szCs w:val="24"/>
          <w:lang w:eastAsia="de-DE"/>
        </w:rPr>
        <w:t>m;+</w:t>
      </w:r>
    </w:p>
    <w:p w:rsidR="00F32E39" w:rsidRPr="00D055BC" w:rsidRDefault="00F32E39" w:rsidP="00F32E39">
      <w:pPr>
        <w:spacing w:line="240" w:lineRule="auto"/>
        <w:ind w:left="360"/>
        <w:rPr>
          <w:rFonts w:ascii="Courier New" w:eastAsia="Times New Roman" w:hAnsi="Courier New" w:cs="Courier New"/>
          <w:sz w:val="20"/>
          <w:szCs w:val="24"/>
          <w:lang w:eastAsia="de-DE"/>
        </w:rPr>
      </w:pPr>
      <w:r w:rsidRPr="00D055BC">
        <w:rPr>
          <w:rFonts w:ascii="Courier New" w:eastAsia="Times New Roman" w:hAnsi="Courier New" w:cs="Courier New"/>
          <w:color w:val="808080" w:themeColor="background1" w:themeShade="80"/>
          <w:sz w:val="20"/>
          <w:szCs w:val="24"/>
          <w:lang w:eastAsia="de-DE"/>
        </w:rPr>
        <w:t xml:space="preserve">              +frown, single lateral headshake+ </w:t>
      </w:r>
    </w:p>
    <w:p w:rsidR="00F32E39" w:rsidRPr="005E3ECE" w:rsidRDefault="00F32E39" w:rsidP="00F32E39">
      <w:pPr>
        <w:pStyle w:val="Listenabsatz"/>
        <w:spacing w:line="240" w:lineRule="auto"/>
        <w:rPr>
          <w:rFonts w:ascii="Times New Roman" w:eastAsia="Times New Roman" w:hAnsi="Times New Roman" w:cs="Times New Roman"/>
          <w:b/>
          <w:sz w:val="24"/>
          <w:szCs w:val="16"/>
          <w:lang w:eastAsia="de-DE"/>
        </w:rPr>
      </w:pPr>
    </w:p>
    <w:p w:rsidR="00F32E39" w:rsidRPr="00012808" w:rsidRDefault="00F32E39" w:rsidP="00F32E39">
      <w:pPr>
        <w:rPr>
          <w:rFonts w:ascii="Times New Roman" w:hAnsi="Times New Roman" w:cs="Times New Roman"/>
          <w:sz w:val="24"/>
          <w:szCs w:val="24"/>
          <w:lang w:val="en-US"/>
        </w:rPr>
      </w:pPr>
      <w:r>
        <w:rPr>
          <w:rFonts w:ascii="Times New Roman" w:hAnsi="Times New Roman" w:cs="Times New Roman"/>
          <w:sz w:val="24"/>
          <w:szCs w:val="24"/>
          <w:lang w:val="en-US"/>
        </w:rPr>
        <w:t xml:space="preserve">In line 09, Mum formulates Ruthie’s food intake as </w:t>
      </w:r>
      <w:r>
        <w:rPr>
          <w:rFonts w:ascii="Times New Roman" w:hAnsi="Times New Roman" w:cs="Times New Roman"/>
          <w:i/>
          <w:sz w:val="24"/>
          <w:szCs w:val="24"/>
          <w:lang w:val="en-US"/>
        </w:rPr>
        <w:t>shoveling</w:t>
      </w:r>
      <w:r>
        <w:rPr>
          <w:rFonts w:ascii="Times New Roman" w:hAnsi="Times New Roman" w:cs="Times New Roman"/>
          <w:sz w:val="24"/>
          <w:szCs w:val="24"/>
          <w:lang w:val="en-US"/>
        </w:rPr>
        <w:t xml:space="preserve">, which is hearable as taking issue with and criticizing Ruthie’s manner of eating as overly hasty (note Ruthie’s dismissive response in line 10). This is different from using a fully indexical prohibitive, such as </w:t>
      </w:r>
      <w:r>
        <w:rPr>
          <w:rFonts w:ascii="Times New Roman" w:hAnsi="Times New Roman" w:cs="Times New Roman"/>
          <w:i/>
          <w:sz w:val="24"/>
          <w:szCs w:val="24"/>
          <w:lang w:val="en-US"/>
        </w:rPr>
        <w:t>Don’t do that</w:t>
      </w:r>
      <w:r>
        <w:rPr>
          <w:rFonts w:ascii="Times New Roman" w:hAnsi="Times New Roman" w:cs="Times New Roman"/>
          <w:sz w:val="24"/>
          <w:szCs w:val="24"/>
          <w:lang w:val="en-US"/>
        </w:rPr>
        <w:t xml:space="preserve">, or a corresponding directive without a comparable action description, such as </w:t>
      </w:r>
      <w:r>
        <w:rPr>
          <w:rFonts w:ascii="Times New Roman" w:hAnsi="Times New Roman" w:cs="Times New Roman"/>
          <w:i/>
          <w:sz w:val="24"/>
          <w:szCs w:val="24"/>
          <w:lang w:val="en-US"/>
        </w:rPr>
        <w:t>Calm down</w:t>
      </w:r>
      <w:r>
        <w:rPr>
          <w:rFonts w:ascii="Times New Roman" w:hAnsi="Times New Roman" w:cs="Times New Roman"/>
          <w:sz w:val="24"/>
          <w:szCs w:val="24"/>
          <w:lang w:val="en-US"/>
        </w:rPr>
        <w:t xml:space="preserve"> (which Mum uses a little later). Other languages may offer further, or very different, lexico-syntactic choices and options.</w:t>
      </w:r>
    </w:p>
    <w:p w:rsidR="00F32E39" w:rsidRDefault="00F32E39" w:rsidP="00F32E39">
      <w:pPr>
        <w:rPr>
          <w:rFonts w:ascii="Times New Roman" w:hAnsi="Times New Roman" w:cs="Times New Roman"/>
          <w:sz w:val="24"/>
          <w:szCs w:val="24"/>
          <w:lang w:val="en-US"/>
        </w:rPr>
      </w:pPr>
      <w:r>
        <w:rPr>
          <w:rFonts w:ascii="Times New Roman" w:hAnsi="Times New Roman" w:cs="Times New Roman"/>
          <w:sz w:val="24"/>
          <w:szCs w:val="24"/>
          <w:lang w:val="en-US"/>
        </w:rPr>
        <w:t xml:space="preserve">From a cross-linguistic perspective, it thus makes sense to contrastively examine the verb phrase as a locus for action descriptions and to ask how language-specific lexico-syntactic or grammatical resources (e.g., certain aspectual distinctions) may enter into the specific interactional work that such descriptions are used to accomplish. Further, as has been argued in research on cross-cultural pragmatics, where similar phenomena have been studied under the rubrics of politeness and conversational (in)directness </w:t>
      </w:r>
      <w:r w:rsidR="00F257B7" w:rsidRPr="00F257B7">
        <w:rPr>
          <w:rFonts w:ascii="Times New Roman" w:hAnsi="Times New Roman" w:cs="Times New Roman"/>
          <w:sz w:val="24"/>
        </w:rPr>
        <w:t>(e.g., Brown/Levinson 1987; Blum-Kulka 1997)</w:t>
      </w:r>
      <w:r>
        <w:rPr>
          <w:rFonts w:ascii="Times New Roman" w:hAnsi="Times New Roman" w:cs="Times New Roman"/>
          <w:sz w:val="24"/>
          <w:szCs w:val="24"/>
          <w:lang w:val="en-US"/>
        </w:rPr>
        <w:t xml:space="preserve">, cross-linguistic differences in such practices can provide a window onto culture-specific patterns of interactional conduct </w:t>
      </w:r>
      <w:r w:rsidR="00F257B7" w:rsidRPr="00F257B7">
        <w:rPr>
          <w:rFonts w:ascii="Times New Roman" w:hAnsi="Times New Roman" w:cs="Times New Roman"/>
          <w:sz w:val="24"/>
        </w:rPr>
        <w:t>(e.g., Ogiermann 2009)</w:t>
      </w:r>
      <w:r>
        <w:rPr>
          <w:rFonts w:ascii="Times New Roman" w:hAnsi="Times New Roman" w:cs="Times New Roman"/>
          <w:sz w:val="24"/>
          <w:szCs w:val="24"/>
          <w:lang w:val="en-US"/>
        </w:rPr>
        <w:t xml:space="preserve">. </w:t>
      </w:r>
    </w:p>
    <w:p w:rsidR="00F32E39" w:rsidRDefault="00F32E39" w:rsidP="00F32E39">
      <w:pPr>
        <w:rPr>
          <w:rFonts w:ascii="Times New Roman" w:hAnsi="Times New Roman" w:cs="Times New Roman"/>
          <w:sz w:val="24"/>
          <w:szCs w:val="24"/>
          <w:lang w:val="en-US"/>
        </w:rPr>
      </w:pPr>
      <w:r>
        <w:rPr>
          <w:rFonts w:ascii="Times New Roman" w:hAnsi="Times New Roman" w:cs="Times New Roman"/>
          <w:sz w:val="24"/>
          <w:szCs w:val="24"/>
          <w:lang w:val="en-US"/>
        </w:rPr>
        <w:t xml:space="preserve">This paper reports on an in-progress exploration of the role that such action descriptions play in direct </w:t>
      </w:r>
      <w:r>
        <w:rPr>
          <w:rFonts w:ascii="Times New Roman" w:hAnsi="Times New Roman" w:cs="Times New Roman"/>
          <w:sz w:val="24"/>
          <w:szCs w:val="24"/>
          <w:lang w:val="en-US"/>
        </w:rPr>
        <w:t>social sanctionings</w:t>
      </w:r>
      <w:r>
        <w:rPr>
          <w:rFonts w:ascii="Times New Roman" w:hAnsi="Times New Roman" w:cs="Times New Roman"/>
          <w:sz w:val="24"/>
          <w:szCs w:val="24"/>
          <w:lang w:val="en-US"/>
        </w:rPr>
        <w:t xml:space="preserve"> </w:t>
      </w:r>
      <w:r w:rsidR="009234EA">
        <w:rPr>
          <w:rFonts w:ascii="Times New Roman" w:hAnsi="Times New Roman" w:cs="Times New Roman"/>
          <w:sz w:val="24"/>
          <w:szCs w:val="24"/>
          <w:lang w:val="en-US"/>
        </w:rPr>
        <w:t xml:space="preserve">of socio-normatively </w:t>
      </w:r>
      <w:r>
        <w:rPr>
          <w:rFonts w:ascii="Times New Roman" w:hAnsi="Times New Roman" w:cs="Times New Roman"/>
          <w:sz w:val="24"/>
          <w:szCs w:val="24"/>
          <w:lang w:val="en-US"/>
        </w:rPr>
        <w:t xml:space="preserve">problematic behavior across four European languages and cultures (British English, German, Italian, Polish). Drawing on Conversation Analytic methods </w:t>
      </w:r>
      <w:r w:rsidR="00F257B7" w:rsidRPr="00F257B7">
        <w:rPr>
          <w:rFonts w:ascii="Times New Roman" w:hAnsi="Times New Roman" w:cs="Times New Roman"/>
          <w:sz w:val="24"/>
        </w:rPr>
        <w:t>(e.g., Clift 2016)</w:t>
      </w:r>
      <w:r>
        <w:rPr>
          <w:rFonts w:ascii="Times New Roman" w:hAnsi="Times New Roman" w:cs="Times New Roman"/>
          <w:sz w:val="24"/>
          <w:szCs w:val="24"/>
          <w:lang w:val="en-US"/>
        </w:rPr>
        <w:t xml:space="preserve"> and a large collection of such episodes from family mealtime and board game interactions, the paper asks when and how speakers use such action descriptions as part of their </w:t>
      </w:r>
      <w:r w:rsidR="009234EA">
        <w:rPr>
          <w:rFonts w:ascii="Times New Roman" w:hAnsi="Times New Roman" w:cs="Times New Roman"/>
          <w:sz w:val="24"/>
          <w:szCs w:val="24"/>
          <w:lang w:val="en-US"/>
        </w:rPr>
        <w:t>sanctioning</w:t>
      </w:r>
      <w:r>
        <w:rPr>
          <w:rFonts w:ascii="Times New Roman" w:hAnsi="Times New Roman" w:cs="Times New Roman"/>
          <w:sz w:val="24"/>
          <w:szCs w:val="24"/>
          <w:lang w:val="en-US"/>
        </w:rPr>
        <w:t xml:space="preserve"> attempts, and whether there are differences to be observed in the way they are being constructed and used in those four lingua-cultures.</w:t>
      </w:r>
    </w:p>
    <w:p w:rsidR="00AB181E" w:rsidRDefault="00224AA6">
      <w:pPr>
        <w:pStyle w:val="Rechtsgrundlagenverzeichnis"/>
      </w:pPr>
      <w:r>
        <w:t>References</w:t>
      </w:r>
    </w:p>
    <w:p w:rsidR="00F257B7" w:rsidRPr="00F257B7" w:rsidRDefault="00F257B7" w:rsidP="00F257B7">
      <w:pPr>
        <w:pStyle w:val="Literaturverzeichnis"/>
        <w:rPr>
          <w:rFonts w:cs="Libertinus Serif"/>
          <w:sz w:val="19"/>
        </w:rPr>
      </w:pPr>
      <w:r w:rsidRPr="00F257B7">
        <w:rPr>
          <w:rFonts w:cs="Libertinus Serif"/>
          <w:sz w:val="19"/>
        </w:rPr>
        <w:t>Blum-Kulka, Shoshana (1997): Dinner talk: cultural patterns of sociability and socialization in family discourse. Mahwah, NJ: L. Erlbaum Assoc. Publishers.</w:t>
      </w:r>
      <w:bookmarkStart w:id="0" w:name="_GoBack"/>
      <w:bookmarkEnd w:id="0"/>
    </w:p>
    <w:p w:rsidR="00F257B7" w:rsidRPr="00F257B7" w:rsidRDefault="00F257B7" w:rsidP="00F257B7">
      <w:pPr>
        <w:pStyle w:val="Literaturverzeichnis"/>
        <w:rPr>
          <w:rFonts w:cs="Libertinus Serif"/>
          <w:sz w:val="19"/>
        </w:rPr>
      </w:pPr>
      <w:r w:rsidRPr="00F257B7">
        <w:rPr>
          <w:rFonts w:cs="Libertinus Serif"/>
          <w:sz w:val="19"/>
        </w:rPr>
        <w:t xml:space="preserve">Bolden, Galina B./Robinson, Jeffrey D. (2011): Soliciting accounts with </w:t>
      </w:r>
      <w:r w:rsidRPr="00F257B7">
        <w:rPr>
          <w:rFonts w:cs="Libertinus Serif"/>
          <w:i/>
          <w:iCs/>
          <w:sz w:val="19"/>
        </w:rPr>
        <w:t>why</w:t>
      </w:r>
      <w:r w:rsidRPr="00F257B7">
        <w:rPr>
          <w:rFonts w:cs="Libertinus Serif"/>
          <w:sz w:val="19"/>
        </w:rPr>
        <w:t>-interrogatives in conversation. In: Journal of Communication, 61(1), pp. 94–119.</w:t>
      </w:r>
    </w:p>
    <w:p w:rsidR="00F257B7" w:rsidRPr="00F257B7" w:rsidRDefault="00F257B7" w:rsidP="00F257B7">
      <w:pPr>
        <w:pStyle w:val="Literaturverzeichnis"/>
        <w:rPr>
          <w:rFonts w:cs="Libertinus Serif"/>
          <w:sz w:val="19"/>
        </w:rPr>
      </w:pPr>
      <w:r w:rsidRPr="00F257B7">
        <w:rPr>
          <w:rFonts w:cs="Libertinus Serif"/>
          <w:sz w:val="19"/>
        </w:rPr>
        <w:t>Brown, Penelope/Levinson, Stephen C. (1987): Politeness: some universals in language usage. Cambridge [Cambridgeshire] ; New York: Cambridge University Press.</w:t>
      </w:r>
    </w:p>
    <w:p w:rsidR="00F257B7" w:rsidRPr="00F257B7" w:rsidRDefault="00F257B7" w:rsidP="00F257B7">
      <w:pPr>
        <w:pStyle w:val="Literaturverzeichnis"/>
        <w:rPr>
          <w:rFonts w:cs="Libertinus Serif"/>
          <w:sz w:val="19"/>
        </w:rPr>
      </w:pPr>
      <w:r w:rsidRPr="00F257B7">
        <w:rPr>
          <w:rFonts w:cs="Libertinus Serif"/>
          <w:sz w:val="19"/>
        </w:rPr>
        <w:t>Clift, Rebecca (2016): Conversation Analysis. Cambridge: Cambridge University Press.</w:t>
      </w:r>
    </w:p>
    <w:p w:rsidR="00F257B7" w:rsidRPr="00F257B7" w:rsidRDefault="00F257B7" w:rsidP="00F257B7">
      <w:pPr>
        <w:pStyle w:val="Literaturverzeichnis"/>
        <w:rPr>
          <w:rFonts w:cs="Libertinus Serif"/>
          <w:sz w:val="19"/>
        </w:rPr>
      </w:pPr>
      <w:r w:rsidRPr="00F257B7">
        <w:rPr>
          <w:rFonts w:cs="Libertinus Serif"/>
          <w:sz w:val="19"/>
        </w:rPr>
        <w:t>Dersley, Ian/Wootton, Anthony (2000): Complaint Sequences Within Antagonistic Argument. In: Research on Language and Social I</w:t>
      </w:r>
      <w:r w:rsidR="00B51BCC">
        <w:rPr>
          <w:rFonts w:cs="Libertinus Serif"/>
          <w:sz w:val="19"/>
        </w:rPr>
        <w:t>nteraction, 33(4), pp. 375–406.</w:t>
      </w:r>
    </w:p>
    <w:p w:rsidR="00F257B7" w:rsidRPr="00F257B7" w:rsidRDefault="00F257B7" w:rsidP="00F257B7">
      <w:pPr>
        <w:pStyle w:val="Literaturverzeichnis"/>
        <w:rPr>
          <w:rFonts w:cs="Libertinus Serif"/>
          <w:sz w:val="19"/>
        </w:rPr>
      </w:pPr>
      <w:r w:rsidRPr="00F257B7">
        <w:rPr>
          <w:rFonts w:cs="Libertinus Serif"/>
          <w:sz w:val="19"/>
        </w:rPr>
        <w:t>Emerson, Robert M./Messinger, Sheldon L. (1977): The micro-politics of trouble. In: Social Problems, 25(2), pp. 121–134.</w:t>
      </w:r>
    </w:p>
    <w:p w:rsidR="00F257B7" w:rsidRPr="00F257B7" w:rsidRDefault="00F257B7" w:rsidP="00F257B7">
      <w:pPr>
        <w:pStyle w:val="Literaturverzeichnis"/>
        <w:rPr>
          <w:rFonts w:cs="Libertinus Serif"/>
          <w:sz w:val="19"/>
        </w:rPr>
      </w:pPr>
      <w:r w:rsidRPr="00F257B7">
        <w:rPr>
          <w:rFonts w:cs="Libertinus Serif"/>
          <w:sz w:val="19"/>
        </w:rPr>
        <w:t>Günthner, Susanne (2000): Vorwurfsaktivitäten in der Alltagsinteraktion: Grammatische, prosodische, rhetorisch-stilistische und interaktive Verfahren bei der Konstitution kommunikativer Muster und Gattungen. Tübingen: Niemeyer.</w:t>
      </w:r>
    </w:p>
    <w:p w:rsidR="00F257B7" w:rsidRPr="00F257B7" w:rsidRDefault="00F257B7" w:rsidP="00F257B7">
      <w:pPr>
        <w:pStyle w:val="Literaturverzeichnis"/>
        <w:rPr>
          <w:rFonts w:cs="Libertinus Serif"/>
          <w:sz w:val="19"/>
        </w:rPr>
      </w:pPr>
      <w:r w:rsidRPr="00F257B7">
        <w:rPr>
          <w:rFonts w:cs="Libertinus Serif"/>
          <w:sz w:val="19"/>
        </w:rPr>
        <w:t>Jayyusi, Lena (1993): Premeditation and happenstance: the social construction of intention, action and knowledge. In: Human Studies, 16(4), pp. 435–455.</w:t>
      </w:r>
    </w:p>
    <w:p w:rsidR="00F257B7" w:rsidRPr="00F257B7" w:rsidRDefault="00F257B7" w:rsidP="00F257B7">
      <w:pPr>
        <w:pStyle w:val="Literaturverzeichnis"/>
        <w:rPr>
          <w:rFonts w:cs="Libertinus Serif"/>
          <w:sz w:val="19"/>
        </w:rPr>
      </w:pPr>
      <w:r w:rsidRPr="00F257B7">
        <w:rPr>
          <w:rFonts w:cs="Libertinus Serif"/>
          <w:sz w:val="19"/>
        </w:rPr>
        <w:lastRenderedPageBreak/>
        <w:t>Ogiermann, Eva (2009): Politeness and in-directness across cultures: A comparison of English, German, Polish and Russian requests. In: Journal of Politeness Research. Language, Behaviour, Culture, 5(2), pp. 189–216.</w:t>
      </w:r>
    </w:p>
    <w:p w:rsidR="00F257B7" w:rsidRPr="00F257B7" w:rsidRDefault="00F257B7" w:rsidP="00F257B7">
      <w:pPr>
        <w:pStyle w:val="Literaturverzeichnis"/>
        <w:rPr>
          <w:rFonts w:cs="Libertinus Serif"/>
          <w:sz w:val="19"/>
        </w:rPr>
      </w:pPr>
      <w:r w:rsidRPr="00F257B7">
        <w:rPr>
          <w:rFonts w:cs="Libertinus Serif"/>
          <w:sz w:val="19"/>
        </w:rPr>
        <w:t>Pomerantz, Anita (1978): Attributions of responsibility: blamings. In: Sociology-the Journal of The British Sociological Association, 12(1), pp. 115–121.</w:t>
      </w:r>
    </w:p>
    <w:p w:rsidR="00F257B7" w:rsidRPr="00F257B7" w:rsidRDefault="00F257B7" w:rsidP="00F257B7">
      <w:pPr>
        <w:pStyle w:val="Literaturverzeichnis"/>
        <w:rPr>
          <w:rFonts w:cs="Libertinus Serif"/>
          <w:sz w:val="19"/>
        </w:rPr>
      </w:pPr>
      <w:r w:rsidRPr="00F257B7">
        <w:rPr>
          <w:rFonts w:cs="Libertinus Serif"/>
          <w:sz w:val="19"/>
        </w:rPr>
        <w:t>Potter, Jonathan/Hepburn, Alexa (2020): Shaming interrogatives: Admonishments, the social psychology of emotion, and discursive practices of behaviour modification in family mealtimes. In: British Journal of Social Psychology, 59(2), pp. 347–364.</w:t>
      </w:r>
    </w:p>
    <w:p w:rsidR="00F257B7" w:rsidRPr="00F257B7" w:rsidRDefault="00F257B7" w:rsidP="00F257B7">
      <w:pPr>
        <w:pStyle w:val="Literaturverzeichnis"/>
        <w:rPr>
          <w:rFonts w:cs="Libertinus Serif"/>
          <w:sz w:val="19"/>
        </w:rPr>
      </w:pPr>
      <w:r w:rsidRPr="00F257B7">
        <w:rPr>
          <w:rFonts w:cs="Libertinus Serif"/>
          <w:sz w:val="19"/>
        </w:rPr>
        <w:t>Robinson, Jeffrey D. (2016): Accountability in social interaction. In: Robinson, Jeffrey D. (ed.): Accountability in social interaction. Oxford: Oxford University Press, pp. 1–46.</w:t>
      </w:r>
    </w:p>
    <w:p w:rsidR="00F257B7" w:rsidRPr="00F257B7" w:rsidRDefault="00F257B7" w:rsidP="00F257B7">
      <w:pPr>
        <w:pStyle w:val="Literaturverzeichnis"/>
        <w:rPr>
          <w:rFonts w:cs="Libertinus Serif"/>
          <w:sz w:val="19"/>
        </w:rPr>
      </w:pPr>
      <w:r w:rsidRPr="00F257B7">
        <w:rPr>
          <w:rFonts w:cs="Libertinus Serif"/>
          <w:sz w:val="19"/>
        </w:rPr>
        <w:t>Rodriguez, Andrea (2022): Complaining. In: Brisard, Frank/D’hondt, Sigurd/Gras, Pedro/Vandenbroucke, Mieke (eds.): Handbook of Pragmatics. Amsterdam: John Benjamins Publishing Company, pp. 66–90.</w:t>
      </w:r>
    </w:p>
    <w:p w:rsidR="00F257B7" w:rsidRPr="00F257B7" w:rsidRDefault="00F257B7" w:rsidP="00F257B7">
      <w:pPr>
        <w:pStyle w:val="Literaturverzeichnis"/>
        <w:rPr>
          <w:rFonts w:cs="Libertinus Serif"/>
          <w:sz w:val="19"/>
        </w:rPr>
      </w:pPr>
      <w:r w:rsidRPr="00F257B7">
        <w:rPr>
          <w:rFonts w:cs="Libertinus Serif"/>
          <w:sz w:val="19"/>
        </w:rPr>
        <w:t>Sacks, Harvey (1963): On sociological description. In: Berkeley Journal of Sociology, 8, pp. 1–16.</w:t>
      </w:r>
    </w:p>
    <w:p w:rsidR="00F257B7" w:rsidRPr="00F257B7" w:rsidRDefault="00F257B7" w:rsidP="00F257B7">
      <w:pPr>
        <w:pStyle w:val="Literaturverzeichnis"/>
        <w:rPr>
          <w:rFonts w:cs="Libertinus Serif"/>
          <w:sz w:val="19"/>
        </w:rPr>
      </w:pPr>
      <w:r w:rsidRPr="00F257B7">
        <w:rPr>
          <w:rFonts w:cs="Libertinus Serif"/>
          <w:sz w:val="19"/>
        </w:rPr>
        <w:t>Schegloff, Emanuel A. (1972): Notes on a conversational practice: formulating place. In: Sudnow, David (ed.): Studies in social interaction, pp. 75–119.</w:t>
      </w:r>
    </w:p>
    <w:p w:rsidR="00F257B7" w:rsidRPr="00F257B7" w:rsidRDefault="00F257B7" w:rsidP="00F257B7">
      <w:pPr>
        <w:pStyle w:val="Literaturverzeichnis"/>
        <w:rPr>
          <w:rFonts w:cs="Libertinus Serif"/>
          <w:sz w:val="19"/>
        </w:rPr>
      </w:pPr>
      <w:r w:rsidRPr="00F257B7">
        <w:rPr>
          <w:rFonts w:cs="Libertinus Serif"/>
          <w:sz w:val="19"/>
        </w:rPr>
        <w:t>Schegloff, Emanuel A. (1988a): Description in the social sciences I: talk-in-interaction. In: IPrA Papers in Pragmatics, 2(1–2), pp. 1–24.</w:t>
      </w:r>
    </w:p>
    <w:p w:rsidR="00F257B7" w:rsidRPr="00F257B7" w:rsidRDefault="00F257B7" w:rsidP="00F257B7">
      <w:pPr>
        <w:pStyle w:val="Literaturverzeichnis"/>
        <w:rPr>
          <w:rFonts w:cs="Libertinus Serif"/>
          <w:sz w:val="19"/>
        </w:rPr>
      </w:pPr>
      <w:r w:rsidRPr="00F257B7">
        <w:rPr>
          <w:rFonts w:cs="Libertinus Serif"/>
          <w:sz w:val="19"/>
        </w:rPr>
        <w:t>Schegloff, Emanuel A. (1988b): Goffman and the analysis of conversation. In: Wootton, Anthony J./Drew, Paul (eds.): Erving goffman: Exploring the interaction order. Cambridge: Polity Press, pp. 89–135.</w:t>
      </w:r>
    </w:p>
    <w:p w:rsidR="00F257B7" w:rsidRPr="00F257B7" w:rsidRDefault="00F257B7" w:rsidP="00F257B7">
      <w:pPr>
        <w:pStyle w:val="Literaturverzeichnis"/>
        <w:rPr>
          <w:rFonts w:cs="Libertinus Serif"/>
          <w:sz w:val="19"/>
        </w:rPr>
      </w:pPr>
      <w:r w:rsidRPr="00F257B7">
        <w:rPr>
          <w:rFonts w:cs="Libertinus Serif"/>
          <w:sz w:val="19"/>
        </w:rPr>
        <w:t>Sidnell, Jack (2017): Action in interaction is conduct under a description. In: Language in Society, 46(3), pp. 313–337.</w:t>
      </w:r>
    </w:p>
    <w:p w:rsidR="00AB181E" w:rsidRDefault="00F257B7" w:rsidP="00F257B7">
      <w:pPr>
        <w:pStyle w:val="Literaturverzeichnis"/>
        <w:rPr>
          <w:rFonts w:cs="Libertinus Serif"/>
          <w:sz w:val="19"/>
        </w:rPr>
      </w:pPr>
      <w:r w:rsidRPr="00F257B7">
        <w:rPr>
          <w:rFonts w:cs="Libertinus Serif"/>
          <w:sz w:val="19"/>
        </w:rPr>
        <w:t>Sidnell, Jack/Barnes, Rebecca (2013): Alternative, subsequent descriptions. In: Hayashi, Makoto/Raymond, Geoffrey/Sidnell, Jack (eds.): Conversational repair and human understanding. Cambridge, U.K.: Cambridge</w:t>
      </w:r>
      <w:r w:rsidR="00B51BCC">
        <w:rPr>
          <w:rFonts w:cs="Libertinus Serif"/>
          <w:sz w:val="19"/>
        </w:rPr>
        <w:t xml:space="preserve"> University Press, pp. 322–342.</w:t>
      </w:r>
    </w:p>
    <w:p w:rsidR="00AF1299" w:rsidRPr="00AF1299" w:rsidRDefault="00AF1299" w:rsidP="00AF1299"/>
    <w:p w:rsidR="00AB181E" w:rsidRDefault="00224AA6">
      <w:pPr>
        <w:pStyle w:val="berschrift1"/>
      </w:pPr>
      <w:r>
        <w:t>Contact information</w:t>
      </w:r>
    </w:p>
    <w:p w:rsidR="00AB181E" w:rsidRDefault="00224AA6">
      <w:r>
        <w:t>Enter the name of each author, institution and email address. Please note that this information will be published. Use the format/style for reference entries.</w:t>
      </w:r>
    </w:p>
    <w:p w:rsidR="00AB181E" w:rsidRDefault="00F257B7">
      <w:r>
        <w:rPr>
          <w:rStyle w:val="Fett"/>
        </w:rPr>
        <w:t>Uwe-A. Küttner</w:t>
      </w:r>
    </w:p>
    <w:p w:rsidR="00AB181E" w:rsidRDefault="00224AA6">
      <w:r>
        <w:t>Leibniz-Institut für Deutsche Sprache</w:t>
      </w:r>
    </w:p>
    <w:p w:rsidR="00AB181E" w:rsidRDefault="00F257B7" w:rsidP="00F257B7">
      <w:hyperlink r:id="rId7" w:history="1">
        <w:r w:rsidRPr="001802CB">
          <w:rPr>
            <w:rStyle w:val="Hyperlink"/>
          </w:rPr>
          <w:t>kuettner@ids-mannheim.de</w:t>
        </w:r>
      </w:hyperlink>
    </w:p>
    <w:sectPr w:rsidR="00AB181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FB9" w:rsidRDefault="00722FB9">
      <w:pPr>
        <w:spacing w:before="0" w:line="240" w:lineRule="auto"/>
      </w:pPr>
      <w:r>
        <w:separator/>
      </w:r>
    </w:p>
  </w:endnote>
  <w:endnote w:type="continuationSeparator" w:id="0">
    <w:p w:rsidR="00722FB9" w:rsidRDefault="00722FB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0C5020-5669-47CC-8837-C0A7D09228E7}"/>
    <w:embedBold r:id="rId2" w:fontKey="{5E28395B-F368-410A-A5F6-6D91B6A23A2B}"/>
    <w:embedItalic r:id="rId3" w:fontKey="{931C7EEB-5150-41F5-85AD-7C61FE5CF470}"/>
  </w:font>
  <w:font w:name="Tahoma">
    <w:panose1 w:val="020B0604030504040204"/>
    <w:charset w:val="00"/>
    <w:family w:val="swiss"/>
    <w:pitch w:val="variable"/>
    <w:sig w:usb0="E1002EFF" w:usb1="C000605B" w:usb2="00000029" w:usb3="00000000" w:csb0="000101FF" w:csb1="00000000"/>
    <w:embedRegular r:id="rId4" w:fontKey="{8A1004CC-9863-4DE2-93F0-BCCF7ECEC3C1}"/>
    <w:embedBold r:id="rId5" w:fontKey="{130D1FE6-F478-4ADC-8E11-C5B02FA2BE9D}"/>
    <w:embedItalic r:id="rId6" w:fontKey="{DC121018-30E2-4743-9CD5-0CE52A192BC4}"/>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Source Sans Pro"/>
    <w:panose1 w:val="00000000000000000000"/>
    <w:charset w:val="00"/>
    <w:family w:val="swiss"/>
    <w:notTrueType/>
    <w:pitch w:val="variable"/>
    <w:sig w:usb0="00000001" w:usb1="00000001" w:usb2="00000000" w:usb3="00000000" w:csb0="0000019F" w:csb1="00000000"/>
  </w:font>
  <w:font w:name="OpenSymbol">
    <w:altName w:val="Arial Unicode MS"/>
    <w:panose1 w:val="05010000000000000000"/>
    <w:charset w:val="00"/>
    <w:family w:val="auto"/>
    <w:pitch w:val="variable"/>
    <w:sig w:usb0="800000AF" w:usb1="1001ECEA" w:usb2="00000000" w:usb3="00000000" w:csb0="80000001" w:csb1="00000000"/>
    <w:embedRegular r:id="rId7" w:fontKey="{8EB388CB-727D-41A9-AA3D-513C3A3CB1F2}"/>
  </w:font>
  <w:font w:name="Liberation Sans">
    <w:altName w:val="Arial"/>
    <w:panose1 w:val="020B0604020202020204"/>
    <w:charset w:val="00"/>
    <w:family w:val="swiss"/>
    <w:pitch w:val="variable"/>
    <w:sig w:usb0="E0000AFF" w:usb1="500078FF" w:usb2="00000021" w:usb3="00000000" w:csb0="000001BF" w:csb1="00000000"/>
    <w:embedBold r:id="rId8" w:fontKey="{D180DA01-5AB7-4A45-AFB0-6F73BB93DFDA}"/>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ACF8D2C0-10A0-4D71-91DB-271D685D57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1D13DE">
      <w:rPr>
        <w:rStyle w:val="Seitenzahl"/>
        <w:rFonts w:cs="Libertinus Serif"/>
        <w:noProof/>
      </w:rPr>
      <w:t>1</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FB9" w:rsidRDefault="00722FB9">
      <w:pPr>
        <w:rPr>
          <w:sz w:val="12"/>
        </w:rPr>
      </w:pPr>
      <w:r>
        <w:separator/>
      </w:r>
    </w:p>
  </w:footnote>
  <w:footnote w:type="continuationSeparator" w:id="0">
    <w:p w:rsidR="00722FB9" w:rsidRDefault="00722FB9">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F32E39">
    <w:pPr>
      <w:pStyle w:val="Kopfzeile"/>
    </w:pPr>
    <w:r>
      <w:t>ICLC-10 2023</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2A831C86"/>
    <w:multiLevelType w:val="hybridMultilevel"/>
    <w:tmpl w:val="0E40116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1D13DE"/>
    <w:rsid w:val="00224AA6"/>
    <w:rsid w:val="00227F60"/>
    <w:rsid w:val="004C5262"/>
    <w:rsid w:val="00694682"/>
    <w:rsid w:val="00717483"/>
    <w:rsid w:val="00722FB9"/>
    <w:rsid w:val="009234EA"/>
    <w:rsid w:val="009D4AD9"/>
    <w:rsid w:val="00A54BA3"/>
    <w:rsid w:val="00AB181E"/>
    <w:rsid w:val="00AF1299"/>
    <w:rsid w:val="00B22F8E"/>
    <w:rsid w:val="00B51BCC"/>
    <w:rsid w:val="00C425D1"/>
    <w:rsid w:val="00DB1137"/>
    <w:rsid w:val="00F257B7"/>
    <w:rsid w:val="00F32E39"/>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FB2A8"/>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uiPriority w:val="34"/>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paragraph" w:styleId="Literaturverzeichnis">
    <w:name w:val="Bibliography"/>
    <w:basedOn w:val="Standard"/>
    <w:next w:val="Standard"/>
    <w:uiPriority w:val="37"/>
    <w:unhideWhenUsed/>
    <w:rsid w:val="00F257B7"/>
    <w:pPr>
      <w:spacing w:line="240" w:lineRule="exac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uettner@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962</Words>
  <Characters>6242</Characters>
  <Application>Microsoft Office Word</Application>
  <DocSecurity>0</DocSecurity>
  <Lines>111</Lines>
  <Paragraphs>48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Küttner</cp:lastModifiedBy>
  <cp:revision>3</cp:revision>
  <cp:lastPrinted>2023-03-11T11:57:00Z</cp:lastPrinted>
  <dcterms:created xsi:type="dcterms:W3CDTF">2023-05-03T11:49:00Z</dcterms:created>
  <dcterms:modified xsi:type="dcterms:W3CDTF">2023-05-03T11:59:00Z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id="uBCKq7JT"/&gt;&lt;style id="http://www.zotero.org/styles/ICLC-10" locale="en-GB" hasBibliography="1" bibliographyStyleHasBeenSet="1"/&gt;&lt;prefs&gt;&lt;pref name="fieldType" value="Field"/&gt;&lt;pref name="automaticJ</vt:lpwstr>
  </property>
  <property fmtid="{D5CDD505-2E9C-101B-9397-08002B2CF9AE}" pid="31" name="ZOTERO_PREF_2">
    <vt:lpwstr>ournalAbbreviations" value="true"/&gt;&lt;/prefs&gt;&lt;/data&gt;</vt:lpwstr>
  </property>
</Properties>
</file>