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81E" w:rsidRPr="007D13E3" w:rsidRDefault="007D13E3">
      <w:pPr>
        <w:pStyle w:val="Author"/>
        <w:rPr>
          <w:lang w:val="de-DE"/>
        </w:rPr>
      </w:pPr>
      <w:r w:rsidRPr="007D13E3">
        <w:rPr>
          <w:lang w:val="de-DE"/>
        </w:rPr>
        <w:t>Alexandra Gubina</w:t>
      </w:r>
      <w:r w:rsidR="00224AA6" w:rsidRPr="007D13E3">
        <w:rPr>
          <w:lang w:val="de-DE"/>
        </w:rPr>
        <w:t>/</w:t>
      </w:r>
      <w:r w:rsidRPr="007D13E3">
        <w:rPr>
          <w:lang w:val="de-DE"/>
        </w:rPr>
        <w:t>Emma Betz</w:t>
      </w:r>
      <w:r w:rsidR="00224AA6" w:rsidRPr="007D13E3">
        <w:rPr>
          <w:lang w:val="de-DE"/>
        </w:rPr>
        <w:t>/</w:t>
      </w:r>
      <w:r w:rsidRPr="007D13E3">
        <w:rPr>
          <w:lang w:val="de-DE"/>
        </w:rPr>
        <w:t>Carmen</w:t>
      </w:r>
      <w:r>
        <w:rPr>
          <w:lang w:val="de-DE"/>
        </w:rPr>
        <w:t xml:space="preserve"> Taleghani-Nikazm/</w:t>
      </w:r>
      <w:r w:rsidRPr="007D13E3">
        <w:rPr>
          <w:lang w:val="de-DE"/>
        </w:rPr>
        <w:t>Reihaneh</w:t>
      </w:r>
      <w:r>
        <w:rPr>
          <w:lang w:val="de-DE"/>
        </w:rPr>
        <w:t xml:space="preserve"> Afshari Saleh</w:t>
      </w:r>
    </w:p>
    <w:p w:rsidR="00AB181E" w:rsidRDefault="007D13E3">
      <w:pPr>
        <w:pStyle w:val="Titel"/>
      </w:pPr>
      <w:r w:rsidRPr="007D13E3">
        <w:t>Marking something as unexpected</w:t>
      </w:r>
      <w:r w:rsidR="00E505F9">
        <w:t>:</w:t>
      </w:r>
    </w:p>
    <w:p w:rsidR="00AB181E" w:rsidRDefault="007D13E3">
      <w:pPr>
        <w:pStyle w:val="Untertitel"/>
      </w:pPr>
      <w:r w:rsidRPr="007D13E3">
        <w:t>Prosodically marked ‘no’ in German and Persian</w:t>
      </w:r>
    </w:p>
    <w:p w:rsidR="00AB181E" w:rsidRDefault="00224AA6" w:rsidP="007D13E3">
      <w:pPr>
        <w:pStyle w:val="Keywords"/>
        <w:jc w:val="left"/>
      </w:pPr>
      <w:r>
        <w:rPr>
          <w:b/>
          <w:szCs w:val="20"/>
        </w:rPr>
        <w:t>Keywords:</w:t>
      </w:r>
      <w:r>
        <w:rPr>
          <w:szCs w:val="20"/>
        </w:rPr>
        <w:t xml:space="preserve"> </w:t>
      </w:r>
      <w:r w:rsidR="007D13E3" w:rsidRPr="007D13E3">
        <w:rPr>
          <w:szCs w:val="20"/>
        </w:rPr>
        <w:t>negation particle</w:t>
      </w:r>
      <w:r w:rsidR="007D13E3">
        <w:rPr>
          <w:szCs w:val="20"/>
        </w:rPr>
        <w:t xml:space="preserve">; </w:t>
      </w:r>
      <w:r w:rsidR="007D13E3" w:rsidRPr="007D13E3">
        <w:rPr>
          <w:szCs w:val="20"/>
        </w:rPr>
        <w:t>newsmark</w:t>
      </w:r>
      <w:r w:rsidR="007D13E3">
        <w:rPr>
          <w:szCs w:val="20"/>
        </w:rPr>
        <w:t xml:space="preserve">; </w:t>
      </w:r>
      <w:r w:rsidR="007D13E3" w:rsidRPr="007D13E3">
        <w:rPr>
          <w:szCs w:val="20"/>
        </w:rPr>
        <w:t>affective stance</w:t>
      </w:r>
      <w:r w:rsidR="007D13E3">
        <w:rPr>
          <w:szCs w:val="20"/>
        </w:rPr>
        <w:t xml:space="preserve">; </w:t>
      </w:r>
      <w:r w:rsidR="007D13E3" w:rsidRPr="007D13E3">
        <w:rPr>
          <w:szCs w:val="20"/>
        </w:rPr>
        <w:t>prosody</w:t>
      </w:r>
      <w:r w:rsidR="007D13E3">
        <w:rPr>
          <w:szCs w:val="20"/>
        </w:rPr>
        <w:t xml:space="preserve">; </w:t>
      </w:r>
      <w:r w:rsidR="007D13E3" w:rsidRPr="007D13E3">
        <w:rPr>
          <w:szCs w:val="20"/>
        </w:rPr>
        <w:t>expectation</w:t>
      </w:r>
      <w:r w:rsidR="007D13E3">
        <w:rPr>
          <w:szCs w:val="20"/>
        </w:rPr>
        <w:t xml:space="preserve">; </w:t>
      </w:r>
      <w:r w:rsidR="007D13E3" w:rsidRPr="007D13E3">
        <w:rPr>
          <w:szCs w:val="20"/>
        </w:rPr>
        <w:t>affiliation</w:t>
      </w:r>
      <w:r w:rsidR="007D13E3">
        <w:rPr>
          <w:szCs w:val="20"/>
        </w:rPr>
        <w:t xml:space="preserve">; </w:t>
      </w:r>
      <w:r w:rsidR="007D13E3" w:rsidRPr="007D13E3">
        <w:rPr>
          <w:szCs w:val="20"/>
        </w:rPr>
        <w:t>stance management</w:t>
      </w:r>
      <w:r w:rsidR="007D13E3">
        <w:rPr>
          <w:szCs w:val="20"/>
        </w:rPr>
        <w:t xml:space="preserve">; </w:t>
      </w:r>
      <w:r w:rsidR="007D13E3" w:rsidRPr="007D13E3">
        <w:rPr>
          <w:szCs w:val="20"/>
        </w:rPr>
        <w:t>German</w:t>
      </w:r>
      <w:r w:rsidR="007D13E3">
        <w:rPr>
          <w:szCs w:val="20"/>
        </w:rPr>
        <w:t xml:space="preserve">; </w:t>
      </w:r>
      <w:r w:rsidR="007D13E3" w:rsidRPr="007D13E3">
        <w:rPr>
          <w:szCs w:val="20"/>
        </w:rPr>
        <w:t>Persian</w:t>
      </w:r>
    </w:p>
    <w:p w:rsidR="007D13E3" w:rsidRPr="00583B80" w:rsidRDefault="007D13E3" w:rsidP="007D13E3">
      <w:pPr>
        <w:spacing w:after="240" w:line="276" w:lineRule="auto"/>
        <w:ind w:hanging="2"/>
        <w:rPr>
          <w:color w:val="202020"/>
        </w:rPr>
      </w:pPr>
      <w:r w:rsidRPr="40D67E69">
        <w:rPr>
          <w:color w:val="202020"/>
        </w:rPr>
        <w:t xml:space="preserve">This conversation analytic study compares the use of negation particles in spoken German and Persian, namely </w:t>
      </w:r>
      <w:r w:rsidRPr="40D67E69">
        <w:rPr>
          <w:i/>
          <w:iCs/>
          <w:color w:val="202020"/>
        </w:rPr>
        <w:t>nein/nee</w:t>
      </w:r>
      <w:r w:rsidRPr="40D67E69">
        <w:rPr>
          <w:color w:val="202020"/>
        </w:rPr>
        <w:t xml:space="preserve"> and </w:t>
      </w:r>
      <w:r w:rsidRPr="40D67E69">
        <w:rPr>
          <w:i/>
          <w:iCs/>
          <w:color w:val="202020"/>
        </w:rPr>
        <w:t>na</w:t>
      </w:r>
      <w:r w:rsidRPr="40D67E69">
        <w:rPr>
          <w:color w:val="202020"/>
        </w:rPr>
        <w:t>. While these particles have a range of functions in both languages (</w:t>
      </w:r>
      <w:r>
        <w:t xml:space="preserve">Ghaderi 2022; </w:t>
      </w:r>
      <w:r w:rsidRPr="40D67E69">
        <w:rPr>
          <w:color w:val="202020"/>
        </w:rPr>
        <w:t xml:space="preserve">Imo 2017), their use in response to news remains understudied. We focus on </w:t>
      </w:r>
      <w:r w:rsidRPr="40D67E69">
        <w:rPr>
          <w:i/>
          <w:iCs/>
          <w:color w:val="202020"/>
          <w:lang w:val="en-US"/>
        </w:rPr>
        <w:t xml:space="preserve">nein/nee </w:t>
      </w:r>
      <w:r w:rsidRPr="40D67E69">
        <w:rPr>
          <w:color w:val="202020"/>
          <w:lang w:val="en-US"/>
        </w:rPr>
        <w:t xml:space="preserve">and </w:t>
      </w:r>
      <w:r w:rsidRPr="40D67E69">
        <w:rPr>
          <w:i/>
          <w:iCs/>
          <w:color w:val="202020"/>
          <w:lang w:val="en-US"/>
        </w:rPr>
        <w:t>na</w:t>
      </w:r>
      <w:r w:rsidRPr="40D67E69">
        <w:rPr>
          <w:color w:val="202020"/>
          <w:lang w:val="en-US"/>
        </w:rPr>
        <w:t xml:space="preserve"> </w:t>
      </w:r>
      <w:r w:rsidRPr="40D67E69">
        <w:rPr>
          <w:color w:val="202020"/>
        </w:rPr>
        <w:t>in two sequential contexts: (i) after prior disconfirmations</w:t>
      </w:r>
      <w:r>
        <w:rPr>
          <w:color w:val="202020"/>
        </w:rPr>
        <w:t xml:space="preserve"> (Extract (a))</w:t>
      </w:r>
      <w:r w:rsidRPr="40D67E69">
        <w:rPr>
          <w:color w:val="202020"/>
        </w:rPr>
        <w:t xml:space="preserve"> and (ii) in response to either solicited or unsolicited informings (see E</w:t>
      </w:r>
      <w:r>
        <w:rPr>
          <w:color w:val="202020"/>
        </w:rPr>
        <w:t>xtracts (b) and (c</w:t>
      </w:r>
      <w:r w:rsidRPr="40D67E69">
        <w:rPr>
          <w:color w:val="202020"/>
        </w:rPr>
        <w:t>)</w:t>
      </w:r>
      <w:r>
        <w:rPr>
          <w:color w:val="202020"/>
        </w:rPr>
        <w:t>,</w:t>
      </w:r>
      <w:r w:rsidRPr="40D67E69">
        <w:rPr>
          <w:color w:val="202020"/>
        </w:rPr>
        <w:t xml:space="preserve"> respectively).</w:t>
      </w:r>
    </w:p>
    <w:p w:rsidR="007D13E3" w:rsidRDefault="007D13E3" w:rsidP="007D13E3">
      <w:pPr>
        <w:spacing w:after="240" w:line="276" w:lineRule="auto"/>
        <w:ind w:hanging="2"/>
        <w:rPr>
          <w:color w:val="202020"/>
        </w:rPr>
      </w:pPr>
      <w:r w:rsidRPr="00DF1449">
        <w:rPr>
          <w:color w:val="202020"/>
        </w:rPr>
        <w:t xml:space="preserve">In both contexts, </w:t>
      </w:r>
      <w:r w:rsidRPr="00DF1449">
        <w:rPr>
          <w:i/>
          <w:color w:val="202020"/>
        </w:rPr>
        <w:t xml:space="preserve">nein/nee </w:t>
      </w:r>
      <w:r w:rsidRPr="00DF1449">
        <w:rPr>
          <w:color w:val="202020"/>
        </w:rPr>
        <w:t xml:space="preserve">and </w:t>
      </w:r>
      <w:r w:rsidRPr="00DF1449">
        <w:rPr>
          <w:i/>
          <w:color w:val="202020"/>
        </w:rPr>
        <w:t>na</w:t>
      </w:r>
      <w:r w:rsidRPr="00DF1449">
        <w:rPr>
          <w:color w:val="202020"/>
        </w:rPr>
        <w:t xml:space="preserve"> mark unexpectedness and open up an opportunity space for more, but they do so in different ways and with different outcomes. </w:t>
      </w:r>
      <w:r w:rsidRPr="00DF1449">
        <w:rPr>
          <w:i/>
          <w:color w:val="202020"/>
        </w:rPr>
        <w:t>Nein/nee</w:t>
      </w:r>
      <w:r w:rsidRPr="00DF1449">
        <w:rPr>
          <w:color w:val="202020"/>
        </w:rPr>
        <w:t xml:space="preserve">- and </w:t>
      </w:r>
      <w:r w:rsidRPr="00DF1449">
        <w:rPr>
          <w:i/>
          <w:color w:val="202020"/>
        </w:rPr>
        <w:t>na</w:t>
      </w:r>
      <w:r w:rsidRPr="00DF1449">
        <w:rPr>
          <w:color w:val="202020"/>
        </w:rPr>
        <w:t>-turns after disconfirming</w:t>
      </w:r>
      <w:r>
        <w:rPr>
          <w:color w:val="202020"/>
        </w:rPr>
        <w:t>,</w:t>
      </w:r>
      <w:r w:rsidRPr="00DF1449">
        <w:rPr>
          <w:color w:val="202020"/>
        </w:rPr>
        <w:t xml:space="preserve"> </w:t>
      </w:r>
      <w:r>
        <w:rPr>
          <w:color w:val="202020"/>
        </w:rPr>
        <w:t xml:space="preserve">often </w:t>
      </w:r>
      <w:r w:rsidRPr="00DF1449">
        <w:rPr>
          <w:color w:val="202020"/>
        </w:rPr>
        <w:t xml:space="preserve">minimal responses to first-position confirmable turns mark the prior as unexpected (or even contrasting </w:t>
      </w:r>
      <w:r>
        <w:rPr>
          <w:color w:val="202020"/>
        </w:rPr>
        <w:t xml:space="preserve">with </w:t>
      </w:r>
      <w:r w:rsidRPr="00DF1449">
        <w:rPr>
          <w:color w:val="202020"/>
        </w:rPr>
        <w:t xml:space="preserve">the </w:t>
      </w:r>
      <w:r w:rsidRPr="00DF1449">
        <w:rPr>
          <w:i/>
          <w:color w:val="202020"/>
        </w:rPr>
        <w:t>nein/nee/na</w:t>
      </w:r>
      <w:r w:rsidRPr="00DF1449">
        <w:rPr>
          <w:color w:val="202020"/>
        </w:rPr>
        <w:t xml:space="preserve">-speaker’s expectations) and thus </w:t>
      </w:r>
      <w:r>
        <w:rPr>
          <w:color w:val="202020"/>
        </w:rPr>
        <w:t xml:space="preserve">as </w:t>
      </w:r>
      <w:r w:rsidRPr="00DF1449">
        <w:rPr>
          <w:color w:val="202020"/>
        </w:rPr>
        <w:t>expandable/accountable (cf. Ford 2001</w:t>
      </w:r>
      <w:r>
        <w:rPr>
          <w:color w:val="202020"/>
        </w:rPr>
        <w:t>; Gubina/Betz 2021</w:t>
      </w:r>
      <w:r w:rsidRPr="00DF1449">
        <w:rPr>
          <w:color w:val="202020"/>
        </w:rPr>
        <w:t xml:space="preserve">). </w:t>
      </w:r>
      <w:r w:rsidRPr="00DF1449">
        <w:rPr>
          <w:i/>
          <w:color w:val="202020"/>
        </w:rPr>
        <w:t>Nein/nee/na</w:t>
      </w:r>
      <w:r w:rsidRPr="00DF1449">
        <w:rPr>
          <w:color w:val="202020"/>
        </w:rPr>
        <w:t xml:space="preserve">-turns after informings (e.g., announcements that display a </w:t>
      </w:r>
      <w:r>
        <w:rPr>
          <w:color w:val="202020"/>
        </w:rPr>
        <w:t xml:space="preserve">story </w:t>
      </w:r>
      <w:r w:rsidRPr="00DF1449">
        <w:rPr>
          <w:color w:val="202020"/>
        </w:rPr>
        <w:t>teller’s negative emotional stance) differ not only in sequential position but also in prosodic realization. They can be either falling or rising, but all are characterized by marked prosody, i.e., lengthening, very low onset, smiling or breathy voice</w:t>
      </w:r>
      <w:r>
        <w:rPr>
          <w:color w:val="202020"/>
        </w:rPr>
        <w:t>,</w:t>
      </w:r>
      <w:r w:rsidRPr="00DF1449">
        <w:rPr>
          <w:color w:val="202020"/>
        </w:rPr>
        <w:t xml:space="preserve"> or high overall pitch. Through position and turn design features, such </w:t>
      </w:r>
      <w:r w:rsidRPr="00DF1449">
        <w:rPr>
          <w:i/>
          <w:color w:val="202020"/>
        </w:rPr>
        <w:t xml:space="preserve">nein/nee- </w:t>
      </w:r>
      <w:r w:rsidRPr="00DF1449">
        <w:rPr>
          <w:color w:val="202020"/>
        </w:rPr>
        <w:t xml:space="preserve">and </w:t>
      </w:r>
      <w:r w:rsidRPr="00DF1449">
        <w:rPr>
          <w:i/>
          <w:color w:val="202020"/>
        </w:rPr>
        <w:t>na</w:t>
      </w:r>
      <w:r w:rsidRPr="00DF1449">
        <w:rPr>
          <w:color w:val="202020"/>
        </w:rPr>
        <w:t>-turns not only mark a prior turn as counter to (normative) expectation</w:t>
      </w:r>
      <w:r>
        <w:rPr>
          <w:color w:val="202020"/>
        </w:rPr>
        <w:t>s</w:t>
      </w:r>
      <w:r w:rsidRPr="00DF1449">
        <w:rPr>
          <w:color w:val="202020"/>
        </w:rPr>
        <w:t xml:space="preserve">, but </w:t>
      </w:r>
      <w:r>
        <w:rPr>
          <w:color w:val="202020"/>
        </w:rPr>
        <w:t xml:space="preserve">may </w:t>
      </w:r>
      <w:r w:rsidRPr="00DF1449">
        <w:rPr>
          <w:color w:val="202020"/>
        </w:rPr>
        <w:t>also</w:t>
      </w:r>
      <w:r>
        <w:rPr>
          <w:color w:val="202020"/>
        </w:rPr>
        <w:t xml:space="preserve"> display the speaker’s affective stance and </w:t>
      </w:r>
      <w:r w:rsidRPr="00DF1449">
        <w:rPr>
          <w:color w:val="202020"/>
        </w:rPr>
        <w:t>affiliate wi</w:t>
      </w:r>
      <w:r>
        <w:rPr>
          <w:color w:val="202020"/>
        </w:rPr>
        <w:t>th the affective stance of the prior interactant</w:t>
      </w:r>
      <w:r w:rsidRPr="00DF1449">
        <w:rPr>
          <w:color w:val="202020"/>
        </w:rPr>
        <w:t xml:space="preserve">. </w:t>
      </w:r>
    </w:p>
    <w:p w:rsidR="007D13E3" w:rsidRDefault="007D13E3" w:rsidP="007D13E3">
      <w:pPr>
        <w:spacing w:after="240" w:line="276" w:lineRule="auto"/>
        <w:ind w:hanging="2"/>
        <w:rPr>
          <w:color w:val="202020"/>
        </w:rPr>
      </w:pPr>
      <w:r>
        <w:rPr>
          <w:color w:val="202020"/>
        </w:rPr>
        <w:t xml:space="preserve">By comparing the use of </w:t>
      </w:r>
      <w:r w:rsidRPr="003873DB">
        <w:rPr>
          <w:i/>
          <w:color w:val="202020"/>
        </w:rPr>
        <w:t>nein/nee</w:t>
      </w:r>
      <w:r>
        <w:rPr>
          <w:color w:val="202020"/>
        </w:rPr>
        <w:t xml:space="preserve"> and </w:t>
      </w:r>
      <w:r w:rsidRPr="003873DB">
        <w:rPr>
          <w:i/>
          <w:color w:val="202020"/>
        </w:rPr>
        <w:t>na</w:t>
      </w:r>
      <w:r>
        <w:rPr>
          <w:color w:val="202020"/>
        </w:rPr>
        <w:t xml:space="preserve"> in German and Persian in the two functions illustrated in Extracts (a) and (b/c), we will show (i) how </w:t>
      </w:r>
      <w:r>
        <w:rPr>
          <w:i/>
          <w:color w:val="202020"/>
        </w:rPr>
        <w:t>nein/nee</w:t>
      </w:r>
      <w:r>
        <w:rPr>
          <w:color w:val="202020"/>
        </w:rPr>
        <w:t xml:space="preserve">- and </w:t>
      </w:r>
      <w:r w:rsidRPr="00583B80">
        <w:rPr>
          <w:i/>
          <w:color w:val="202020"/>
        </w:rPr>
        <w:t>na</w:t>
      </w:r>
      <w:r>
        <w:rPr>
          <w:color w:val="202020"/>
        </w:rPr>
        <w:t xml:space="preserve">-turns shape interactional trajectories after responsive actions and (ii) what role the particles play in managing news and stance-taking as well as epistemic and affective positioning. Apart from revealing similarities in the use of German and Persian negation particles, the results of our cross-linguistic comparison will demonstrate </w:t>
      </w:r>
      <w:r w:rsidRPr="00B11AC1">
        <w:t xml:space="preserve">that </w:t>
      </w:r>
      <w:r>
        <w:t xml:space="preserve">even if different languages </w:t>
      </w:r>
      <w:r w:rsidRPr="00B11AC1">
        <w:t>have similar practices for specific actions, the use of these practices is language</w:t>
      </w:r>
      <w:r>
        <w:t>-</w:t>
      </w:r>
      <w:r w:rsidRPr="00B11AC1">
        <w:t xml:space="preserve"> and culture</w:t>
      </w:r>
      <w:r>
        <w:t>-</w:t>
      </w:r>
      <w:r w:rsidRPr="00B11AC1">
        <w:t>specific</w:t>
      </w:r>
      <w:r>
        <w:t>. This means that even similar practices in different languages have</w:t>
      </w:r>
      <w:r w:rsidRPr="00B11AC1">
        <w:t xml:space="preserve"> their own </w:t>
      </w:r>
      <w:r>
        <w:t>“</w:t>
      </w:r>
      <w:r w:rsidRPr="00B11AC1">
        <w:t>collateral effects</w:t>
      </w:r>
      <w:r>
        <w:t>” (Sidnell</w:t>
      </w:r>
      <w:r w:rsidR="00133EC1">
        <w:t>/</w:t>
      </w:r>
      <w:r>
        <w:t>Enfield 2012), linguistic and prosodic characteristic features,</w:t>
      </w:r>
      <w:r w:rsidRPr="00B11AC1">
        <w:t xml:space="preserve"> and</w:t>
      </w:r>
      <w:r>
        <w:t>, at least sometimes,</w:t>
      </w:r>
      <w:r w:rsidRPr="00B11AC1">
        <w:t xml:space="preserve"> consequences for social actions accomplished in the specific language (e.g., </w:t>
      </w:r>
      <w:r w:rsidRPr="009C5A95">
        <w:t xml:space="preserve">Dingemanse </w:t>
      </w:r>
      <w:r>
        <w:t xml:space="preserve">et al. </w:t>
      </w:r>
      <w:r w:rsidRPr="009C5A95">
        <w:t xml:space="preserve">2014; </w:t>
      </w:r>
      <w:r w:rsidR="00133EC1">
        <w:t>Evans/</w:t>
      </w:r>
      <w:r w:rsidRPr="009C5A95">
        <w:t>Levinson 2009</w:t>
      </w:r>
      <w:r>
        <w:t xml:space="preserve">; </w:t>
      </w:r>
      <w:r w:rsidRPr="00B11AC1">
        <w:t>Floyd</w:t>
      </w:r>
      <w:r>
        <w:t xml:space="preserve"> et al.</w:t>
      </w:r>
      <w:r w:rsidRPr="00B11AC1">
        <w:t xml:space="preserve"> 2020; </w:t>
      </w:r>
      <w:r>
        <w:t>Fox et al. 2009</w:t>
      </w:r>
      <w:r w:rsidRPr="00B11AC1">
        <w:t>).</w:t>
      </w:r>
      <w:r>
        <w:rPr>
          <w:color w:val="202020"/>
        </w:rPr>
        <w:t xml:space="preserve"> </w:t>
      </w:r>
    </w:p>
    <w:p w:rsidR="007D13E3" w:rsidRDefault="007D13E3" w:rsidP="007D13E3">
      <w:pPr>
        <w:spacing w:line="276" w:lineRule="auto"/>
        <w:ind w:hanging="2"/>
        <w:rPr>
          <w:color w:val="202020"/>
        </w:rPr>
      </w:pPr>
      <w:r>
        <w:rPr>
          <w:color w:val="202020"/>
        </w:rPr>
        <w:lastRenderedPageBreak/>
        <w:t xml:space="preserve">Our study uses the </w:t>
      </w:r>
      <w:r w:rsidRPr="00FA0077">
        <w:rPr>
          <w:color w:val="202020"/>
        </w:rPr>
        <w:t>method of Conversation Analysis (Sidnell</w:t>
      </w:r>
      <w:r w:rsidR="00133EC1">
        <w:rPr>
          <w:color w:val="202020"/>
        </w:rPr>
        <w:t>/</w:t>
      </w:r>
      <w:r w:rsidRPr="00FA0077">
        <w:rPr>
          <w:color w:val="202020"/>
        </w:rPr>
        <w:t>Stivers 2013) and draws on</w:t>
      </w:r>
      <w:r>
        <w:rPr>
          <w:color w:val="202020"/>
        </w:rPr>
        <w:t xml:space="preserve"> more than 80 hours of </w:t>
      </w:r>
      <w:r w:rsidRPr="00FA0077">
        <w:rPr>
          <w:color w:val="202020"/>
        </w:rPr>
        <w:t xml:space="preserve">audio and video recordings of </w:t>
      </w:r>
      <w:r>
        <w:rPr>
          <w:color w:val="202020"/>
        </w:rPr>
        <w:t xml:space="preserve">spontaneous </w:t>
      </w:r>
      <w:r w:rsidRPr="00FA0077">
        <w:rPr>
          <w:color w:val="202020"/>
        </w:rPr>
        <w:t xml:space="preserve">interactions </w:t>
      </w:r>
      <w:r>
        <w:rPr>
          <w:color w:val="202020"/>
        </w:rPr>
        <w:t>(</w:t>
      </w:r>
      <w:r w:rsidRPr="00FA0077">
        <w:rPr>
          <w:color w:val="202020"/>
        </w:rPr>
        <w:t>co-present</w:t>
      </w:r>
      <w:r>
        <w:rPr>
          <w:color w:val="202020"/>
        </w:rPr>
        <w:t>, via video link,</w:t>
      </w:r>
      <w:r w:rsidRPr="00FA0077">
        <w:rPr>
          <w:color w:val="202020"/>
        </w:rPr>
        <w:t xml:space="preserve"> and </w:t>
      </w:r>
      <w:r>
        <w:rPr>
          <w:color w:val="202020"/>
        </w:rPr>
        <w:t xml:space="preserve">on the </w:t>
      </w:r>
      <w:r w:rsidRPr="00FA0077">
        <w:rPr>
          <w:color w:val="202020"/>
        </w:rPr>
        <w:t>telephone</w:t>
      </w:r>
      <w:r>
        <w:rPr>
          <w:color w:val="202020"/>
        </w:rPr>
        <w:t xml:space="preserve">) </w:t>
      </w:r>
      <w:r w:rsidRPr="00FA0077">
        <w:rPr>
          <w:color w:val="202020"/>
        </w:rPr>
        <w:t>in everyday and institutional contexts.</w:t>
      </w:r>
    </w:p>
    <w:p w:rsidR="00E505F9" w:rsidRPr="009D02EC" w:rsidRDefault="00E505F9" w:rsidP="007D13E3">
      <w:pPr>
        <w:spacing w:line="276" w:lineRule="auto"/>
        <w:ind w:hanging="2"/>
        <w:rPr>
          <w:color w:val="202020"/>
        </w:rPr>
      </w:pPr>
    </w:p>
    <w:p w:rsidR="007D13E3" w:rsidRDefault="007D13E3" w:rsidP="007D13E3">
      <w:pPr>
        <w:autoSpaceDE w:val="0"/>
        <w:autoSpaceDN w:val="0"/>
        <w:adjustRightInd w:val="0"/>
        <w:spacing w:before="120" w:line="276" w:lineRule="auto"/>
        <w:ind w:left="709" w:hanging="709"/>
        <w:rPr>
          <w:b/>
          <w:sz w:val="20"/>
          <w:szCs w:val="20"/>
          <w:lang w:val="en-US" w:eastAsia="de-DE"/>
        </w:rPr>
      </w:pPr>
      <w:r>
        <w:rPr>
          <w:noProof/>
          <w:lang w:val="de-DE" w:eastAsia="de-DE"/>
        </w:rPr>
        <w:drawing>
          <wp:inline distT="0" distB="0" distL="0" distR="0" wp14:anchorId="40058A8E" wp14:editId="2FA14812">
            <wp:extent cx="3144901" cy="2589919"/>
            <wp:effectExtent l="0" t="0" r="0" b="127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3217105" cy="2649381"/>
                    </a:xfrm>
                    <a:prstGeom prst="rect">
                      <a:avLst/>
                    </a:prstGeom>
                    <a:ln/>
                  </pic:spPr>
                </pic:pic>
              </a:graphicData>
            </a:graphic>
          </wp:inline>
        </w:drawing>
      </w:r>
    </w:p>
    <w:p w:rsidR="00E505F9" w:rsidRDefault="00E505F9" w:rsidP="007D13E3">
      <w:pPr>
        <w:autoSpaceDE w:val="0"/>
        <w:autoSpaceDN w:val="0"/>
        <w:adjustRightInd w:val="0"/>
        <w:spacing w:before="120" w:line="276" w:lineRule="auto"/>
        <w:ind w:left="709" w:hanging="709"/>
        <w:rPr>
          <w:b/>
          <w:sz w:val="20"/>
          <w:szCs w:val="20"/>
          <w:lang w:val="en-US" w:eastAsia="de-DE"/>
        </w:rPr>
      </w:pPr>
      <w:r>
        <w:rPr>
          <w:noProof/>
          <w:kern w:val="1"/>
          <w:position w:val="-1"/>
          <w:sz w:val="24"/>
          <w:szCs w:val="24"/>
          <w:lang w:val="de-DE" w:eastAsia="de-DE"/>
        </w:rPr>
        <w:drawing>
          <wp:anchor distT="0" distB="0" distL="114300" distR="114300" simplePos="0" relativeHeight="251658240" behindDoc="0" locked="0" layoutInCell="1" allowOverlap="1" wp14:anchorId="07814255" wp14:editId="04DA6424">
            <wp:simplePos x="0" y="0"/>
            <wp:positionH relativeFrom="margin">
              <wp:align>left</wp:align>
            </wp:positionH>
            <wp:positionV relativeFrom="paragraph">
              <wp:posOffset>154570</wp:posOffset>
            </wp:positionV>
            <wp:extent cx="4450432" cy="1680222"/>
            <wp:effectExtent l="0" t="0" r="7620" b="0"/>
            <wp:wrapNone/>
            <wp:docPr id="5" name="Grafik 5" descr="e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5572" cy="1719917"/>
                    </a:xfrm>
                    <a:prstGeom prst="rect">
                      <a:avLst/>
                    </a:prstGeom>
                    <a:noFill/>
                  </pic:spPr>
                </pic:pic>
              </a:graphicData>
            </a:graphic>
            <wp14:sizeRelH relativeFrom="page">
              <wp14:pctWidth>0</wp14:pctWidth>
            </wp14:sizeRelH>
            <wp14:sizeRelV relativeFrom="page">
              <wp14:pctHeight>0</wp14:pctHeight>
            </wp14:sizeRelV>
          </wp:anchor>
        </w:drawing>
      </w:r>
    </w:p>
    <w:p w:rsidR="00E505F9" w:rsidRDefault="00E505F9" w:rsidP="007D13E3">
      <w:pPr>
        <w:autoSpaceDE w:val="0"/>
        <w:autoSpaceDN w:val="0"/>
        <w:adjustRightInd w:val="0"/>
        <w:spacing w:before="120" w:line="276" w:lineRule="auto"/>
        <w:ind w:left="709" w:hanging="709"/>
        <w:rPr>
          <w:b/>
          <w:sz w:val="20"/>
          <w:szCs w:val="20"/>
          <w:lang w:val="en-US" w:eastAsia="de-DE"/>
        </w:rPr>
      </w:pPr>
    </w:p>
    <w:p w:rsidR="00E505F9" w:rsidRDefault="00E505F9" w:rsidP="007D13E3">
      <w:pPr>
        <w:autoSpaceDE w:val="0"/>
        <w:autoSpaceDN w:val="0"/>
        <w:adjustRightInd w:val="0"/>
        <w:spacing w:before="120" w:line="276" w:lineRule="auto"/>
        <w:ind w:left="709" w:hanging="709"/>
        <w:rPr>
          <w:b/>
          <w:sz w:val="20"/>
          <w:szCs w:val="20"/>
          <w:lang w:val="en-US" w:eastAsia="de-DE"/>
        </w:rPr>
      </w:pPr>
    </w:p>
    <w:p w:rsidR="00E505F9" w:rsidRDefault="00E505F9" w:rsidP="007D13E3">
      <w:pPr>
        <w:autoSpaceDE w:val="0"/>
        <w:autoSpaceDN w:val="0"/>
        <w:adjustRightInd w:val="0"/>
        <w:spacing w:before="120" w:line="276" w:lineRule="auto"/>
        <w:ind w:left="709" w:hanging="709"/>
        <w:rPr>
          <w:b/>
          <w:sz w:val="20"/>
          <w:szCs w:val="20"/>
          <w:lang w:val="en-US" w:eastAsia="de-DE"/>
        </w:rPr>
      </w:pPr>
    </w:p>
    <w:p w:rsidR="00E505F9" w:rsidRDefault="00E505F9" w:rsidP="007D13E3">
      <w:pPr>
        <w:autoSpaceDE w:val="0"/>
        <w:autoSpaceDN w:val="0"/>
        <w:adjustRightInd w:val="0"/>
        <w:spacing w:before="120" w:line="276" w:lineRule="auto"/>
        <w:ind w:left="709" w:hanging="709"/>
        <w:rPr>
          <w:b/>
          <w:sz w:val="20"/>
          <w:szCs w:val="20"/>
          <w:lang w:val="en-US" w:eastAsia="de-DE"/>
        </w:rPr>
      </w:pPr>
    </w:p>
    <w:p w:rsidR="00E505F9" w:rsidRDefault="00E505F9" w:rsidP="007D13E3">
      <w:pPr>
        <w:autoSpaceDE w:val="0"/>
        <w:autoSpaceDN w:val="0"/>
        <w:adjustRightInd w:val="0"/>
        <w:spacing w:before="120" w:line="276" w:lineRule="auto"/>
        <w:ind w:left="709" w:hanging="709"/>
        <w:rPr>
          <w:b/>
          <w:sz w:val="20"/>
          <w:szCs w:val="20"/>
          <w:lang w:val="en-US" w:eastAsia="de-DE"/>
        </w:rPr>
      </w:pPr>
    </w:p>
    <w:p w:rsidR="00133EC1" w:rsidRDefault="00133EC1" w:rsidP="007D13E3">
      <w:pPr>
        <w:autoSpaceDE w:val="0"/>
        <w:autoSpaceDN w:val="0"/>
        <w:adjustRightInd w:val="0"/>
        <w:spacing w:before="120" w:line="276" w:lineRule="auto"/>
        <w:ind w:left="709" w:hanging="709"/>
        <w:rPr>
          <w:b/>
          <w:sz w:val="20"/>
          <w:szCs w:val="20"/>
          <w:lang w:val="en-US" w:eastAsia="de-DE"/>
        </w:rPr>
      </w:pPr>
    </w:p>
    <w:p w:rsidR="00292D5D" w:rsidRDefault="00292D5D" w:rsidP="007D13E3">
      <w:pPr>
        <w:autoSpaceDE w:val="0"/>
        <w:autoSpaceDN w:val="0"/>
        <w:adjustRightInd w:val="0"/>
        <w:spacing w:before="120" w:line="276" w:lineRule="auto"/>
        <w:ind w:left="709" w:hanging="709"/>
        <w:rPr>
          <w:b/>
          <w:sz w:val="20"/>
          <w:szCs w:val="20"/>
          <w:lang w:val="en-US" w:eastAsia="de-DE"/>
        </w:rPr>
      </w:pPr>
    </w:p>
    <w:p w:rsidR="007D13E3" w:rsidRDefault="00292D5D" w:rsidP="007D13E3">
      <w:pPr>
        <w:autoSpaceDE w:val="0"/>
        <w:autoSpaceDN w:val="0"/>
        <w:adjustRightInd w:val="0"/>
        <w:spacing w:before="120" w:line="276" w:lineRule="auto"/>
        <w:ind w:left="709" w:hanging="709"/>
        <w:rPr>
          <w:b/>
          <w:sz w:val="20"/>
          <w:szCs w:val="20"/>
          <w:lang w:val="en-US" w:eastAsia="de-DE"/>
        </w:rPr>
      </w:pPr>
      <w:r>
        <w:rPr>
          <w:b/>
          <w:noProof/>
          <w:sz w:val="20"/>
          <w:szCs w:val="20"/>
          <w:lang w:val="de-DE" w:eastAsia="de-DE"/>
        </w:rPr>
        <mc:AlternateContent>
          <mc:Choice Requires="wps">
            <w:drawing>
              <wp:anchor distT="0" distB="0" distL="114300" distR="114300" simplePos="0" relativeHeight="251661312" behindDoc="0" locked="0" layoutInCell="1" allowOverlap="1" wp14:anchorId="27658AD1" wp14:editId="7D8B4A8A">
                <wp:simplePos x="0" y="0"/>
                <wp:positionH relativeFrom="margin">
                  <wp:posOffset>-73025</wp:posOffset>
                </wp:positionH>
                <wp:positionV relativeFrom="paragraph">
                  <wp:posOffset>78740</wp:posOffset>
                </wp:positionV>
                <wp:extent cx="3091815" cy="280035"/>
                <wp:effectExtent l="0" t="0" r="0" b="5715"/>
                <wp:wrapThrough wrapText="bothSides">
                  <wp:wrapPolygon edited="0">
                    <wp:start x="0" y="0"/>
                    <wp:lineTo x="0" y="20571"/>
                    <wp:lineTo x="21427" y="20571"/>
                    <wp:lineTo x="21427" y="0"/>
                    <wp:lineTo x="0" y="0"/>
                  </wp:wrapPolygon>
                </wp:wrapThrough>
                <wp:docPr id="3" name="Textfeld 3"/>
                <wp:cNvGraphicFramePr/>
                <a:graphic xmlns:a="http://schemas.openxmlformats.org/drawingml/2006/main">
                  <a:graphicData uri="http://schemas.microsoft.com/office/word/2010/wordprocessingShape">
                    <wps:wsp>
                      <wps:cNvSpPr txBox="1"/>
                      <wps:spPr>
                        <a:xfrm>
                          <a:off x="0" y="0"/>
                          <a:ext cx="3091815" cy="280035"/>
                        </a:xfrm>
                        <a:prstGeom prst="rect">
                          <a:avLst/>
                        </a:prstGeom>
                        <a:solidFill>
                          <a:schemeClr val="lt1"/>
                        </a:solidFill>
                        <a:ln w="6350">
                          <a:noFill/>
                        </a:ln>
                      </wps:spPr>
                      <wps:txbx>
                        <w:txbxContent>
                          <w:p w:rsidR="007D13E3" w:rsidRPr="00292D5D" w:rsidRDefault="00292D5D" w:rsidP="00292D5D">
                            <w:pPr>
                              <w:tabs>
                                <w:tab w:val="left" w:pos="284"/>
                              </w:tabs>
                              <w:spacing w:before="0"/>
                              <w:rPr>
                                <w:sz w:val="24"/>
                                <w:szCs w:val="24"/>
                                <w:lang w:val="en-US"/>
                              </w:rPr>
                            </w:pPr>
                            <w:r>
                              <w:rPr>
                                <w:sz w:val="24"/>
                                <w:szCs w:val="24"/>
                                <w:lang w:val="en-US"/>
                              </w:rPr>
                              <w:t>(c)</w:t>
                            </w:r>
                            <w:r>
                              <w:rPr>
                                <w:sz w:val="24"/>
                                <w:szCs w:val="24"/>
                                <w:lang w:val="en-US"/>
                              </w:rPr>
                              <w:tab/>
                              <w:t xml:space="preserve"> </w:t>
                            </w:r>
                            <w:r w:rsidR="007D13E3" w:rsidRPr="00292D5D">
                              <w:rPr>
                                <w:sz w:val="24"/>
                                <w:szCs w:val="24"/>
                                <w:lang w:val="en-US"/>
                              </w:rPr>
                              <w:t>FOLK_E_00428_SE_01_T_01_phone call_817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58AD1" id="_x0000_t202" coordsize="21600,21600" o:spt="202" path="m,l,21600r21600,l21600,xe">
                <v:stroke joinstyle="miter"/>
                <v:path gradientshapeok="t" o:connecttype="rect"/>
              </v:shapetype>
              <v:shape id="Textfeld 3" o:spid="_x0000_s1026" type="#_x0000_t202" style="position:absolute;left:0;text-align:left;margin-left:-5.75pt;margin-top:6.2pt;width:243.45pt;height:22.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" fillcolor="white [3201]" stroked="f" strokeweight=".5pt">
                <v:textbox>
                  <w:txbxContent>
                    <w:p w:rsidR="007D13E3" w:rsidRPr="00292D5D" w:rsidRDefault="00292D5D" w:rsidP="00292D5D">
                      <w:pPr>
                        <w:tabs>
                          <w:tab w:val="left" w:pos="284"/>
                        </w:tabs>
                        <w:spacing w:before="0"/>
                        <w:rPr>
                          <w:sz w:val="24"/>
                          <w:szCs w:val="24"/>
                          <w:lang w:val="en-US"/>
                        </w:rPr>
                      </w:pPr>
                      <w:r>
                        <w:rPr>
                          <w:sz w:val="24"/>
                          <w:szCs w:val="24"/>
                          <w:lang w:val="en-US"/>
                        </w:rPr>
                        <w:t>(c)</w:t>
                      </w:r>
                      <w:r>
                        <w:rPr>
                          <w:sz w:val="24"/>
                          <w:szCs w:val="24"/>
                          <w:lang w:val="en-US"/>
                        </w:rPr>
                        <w:tab/>
                        <w:t xml:space="preserve"> </w:t>
                      </w:r>
                      <w:r w:rsidR="007D13E3" w:rsidRPr="00292D5D">
                        <w:rPr>
                          <w:sz w:val="24"/>
                          <w:szCs w:val="24"/>
                          <w:lang w:val="en-US"/>
                        </w:rPr>
                        <w:t>FOLK_E_00428_SE_01_T_01_phone call_817</w:t>
                      </w:r>
                    </w:p>
                  </w:txbxContent>
                </v:textbox>
                <w10:wrap type="through" anchorx="margin"/>
              </v:shape>
            </w:pict>
          </mc:Fallback>
        </mc:AlternateContent>
      </w:r>
      <w:r w:rsidR="007D13E3">
        <w:rPr>
          <w:noProof/>
          <w:lang w:val="de-DE" w:eastAsia="de-DE"/>
        </w:rPr>
        <w:drawing>
          <wp:anchor distT="114300" distB="114300" distL="114300" distR="114300" simplePos="0" relativeHeight="251660288" behindDoc="0" locked="0" layoutInCell="1" hidden="0" allowOverlap="1" wp14:anchorId="7C0A00CE" wp14:editId="26CDE0B0">
            <wp:simplePos x="0" y="0"/>
            <wp:positionH relativeFrom="margin">
              <wp:align>left</wp:align>
            </wp:positionH>
            <wp:positionV relativeFrom="paragraph">
              <wp:posOffset>113665</wp:posOffset>
            </wp:positionV>
            <wp:extent cx="3422015" cy="2380615"/>
            <wp:effectExtent l="0" t="0" r="6985" b="635"/>
            <wp:wrapSquare wrapText="bothSides" distT="114300" distB="11430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422015" cy="2380615"/>
                    </a:xfrm>
                    <a:prstGeom prst="rect">
                      <a:avLst/>
                    </a:prstGeom>
                    <a:ln/>
                  </pic:spPr>
                </pic:pic>
              </a:graphicData>
            </a:graphic>
            <wp14:sizeRelH relativeFrom="margin">
              <wp14:pctWidth>0</wp14:pctWidth>
            </wp14:sizeRelH>
            <wp14:sizeRelV relativeFrom="margin">
              <wp14:pctHeight>0</wp14:pctHeight>
            </wp14:sizeRelV>
          </wp:anchor>
        </w:drawing>
      </w:r>
    </w:p>
    <w:p w:rsidR="007D13E3" w:rsidRDefault="007D13E3" w:rsidP="007D13E3">
      <w:pPr>
        <w:autoSpaceDE w:val="0"/>
        <w:autoSpaceDN w:val="0"/>
        <w:adjustRightInd w:val="0"/>
        <w:spacing w:before="120" w:line="276" w:lineRule="auto"/>
        <w:ind w:left="709" w:hanging="709"/>
        <w:rPr>
          <w:b/>
          <w:sz w:val="20"/>
          <w:szCs w:val="20"/>
          <w:lang w:val="en-US" w:eastAsia="de-DE"/>
        </w:rPr>
      </w:pPr>
    </w:p>
    <w:p w:rsidR="007D13E3" w:rsidRDefault="007D13E3" w:rsidP="007D13E3">
      <w:pPr>
        <w:autoSpaceDE w:val="0"/>
        <w:autoSpaceDN w:val="0"/>
        <w:adjustRightInd w:val="0"/>
        <w:spacing w:before="120" w:line="276" w:lineRule="auto"/>
        <w:ind w:left="709" w:hanging="709"/>
        <w:rPr>
          <w:b/>
          <w:sz w:val="20"/>
          <w:szCs w:val="20"/>
          <w:lang w:val="en-US" w:eastAsia="de-DE"/>
        </w:rPr>
      </w:pPr>
    </w:p>
    <w:p w:rsidR="007D13E3" w:rsidRDefault="007D13E3" w:rsidP="007D13E3">
      <w:pPr>
        <w:autoSpaceDE w:val="0"/>
        <w:autoSpaceDN w:val="0"/>
        <w:adjustRightInd w:val="0"/>
        <w:spacing w:before="120" w:line="276" w:lineRule="auto"/>
        <w:ind w:left="709" w:hanging="709"/>
        <w:rPr>
          <w:b/>
          <w:sz w:val="20"/>
          <w:szCs w:val="20"/>
          <w:lang w:val="en-US" w:eastAsia="de-DE"/>
        </w:rPr>
      </w:pPr>
      <w:bookmarkStart w:id="0" w:name="_GoBack"/>
      <w:bookmarkEnd w:id="0"/>
    </w:p>
    <w:p w:rsidR="007D13E3" w:rsidRDefault="007D13E3" w:rsidP="007D13E3">
      <w:pPr>
        <w:autoSpaceDE w:val="0"/>
        <w:autoSpaceDN w:val="0"/>
        <w:adjustRightInd w:val="0"/>
        <w:spacing w:before="120" w:line="276" w:lineRule="auto"/>
        <w:ind w:left="709" w:hanging="709"/>
        <w:rPr>
          <w:b/>
          <w:sz w:val="20"/>
          <w:szCs w:val="20"/>
          <w:lang w:val="en-US" w:eastAsia="de-DE"/>
        </w:rPr>
      </w:pPr>
    </w:p>
    <w:p w:rsidR="007D13E3" w:rsidRDefault="007D13E3" w:rsidP="007D13E3">
      <w:pPr>
        <w:autoSpaceDE w:val="0"/>
        <w:autoSpaceDN w:val="0"/>
        <w:adjustRightInd w:val="0"/>
        <w:spacing w:before="120" w:line="276" w:lineRule="auto"/>
        <w:ind w:left="709" w:hanging="709"/>
        <w:rPr>
          <w:b/>
          <w:sz w:val="20"/>
          <w:szCs w:val="20"/>
          <w:lang w:val="en-US" w:eastAsia="de-DE"/>
        </w:rPr>
      </w:pPr>
    </w:p>
    <w:p w:rsidR="007D13E3" w:rsidRDefault="007D13E3" w:rsidP="007D13E3">
      <w:pPr>
        <w:autoSpaceDE w:val="0"/>
        <w:autoSpaceDN w:val="0"/>
        <w:adjustRightInd w:val="0"/>
        <w:spacing w:before="120" w:line="276" w:lineRule="auto"/>
        <w:ind w:left="709" w:hanging="709"/>
        <w:rPr>
          <w:b/>
          <w:sz w:val="20"/>
          <w:szCs w:val="20"/>
          <w:lang w:val="en-US" w:eastAsia="de-DE"/>
        </w:rPr>
      </w:pPr>
    </w:p>
    <w:p w:rsidR="007D13E3" w:rsidRDefault="007D13E3" w:rsidP="007D13E3">
      <w:pPr>
        <w:autoSpaceDE w:val="0"/>
        <w:autoSpaceDN w:val="0"/>
        <w:adjustRightInd w:val="0"/>
        <w:spacing w:before="120" w:line="276" w:lineRule="auto"/>
        <w:ind w:left="709" w:hanging="709"/>
        <w:rPr>
          <w:b/>
          <w:sz w:val="20"/>
          <w:szCs w:val="20"/>
          <w:lang w:val="en-US" w:eastAsia="de-DE"/>
        </w:rPr>
      </w:pPr>
    </w:p>
    <w:p w:rsidR="00292D5D" w:rsidRDefault="00292D5D" w:rsidP="007D13E3">
      <w:pPr>
        <w:autoSpaceDE w:val="0"/>
        <w:autoSpaceDN w:val="0"/>
        <w:adjustRightInd w:val="0"/>
        <w:spacing w:before="120" w:line="276" w:lineRule="auto"/>
        <w:ind w:left="709" w:hanging="709"/>
        <w:rPr>
          <w:b/>
          <w:sz w:val="20"/>
          <w:szCs w:val="20"/>
          <w:lang w:val="en-US" w:eastAsia="de-DE"/>
        </w:rPr>
      </w:pPr>
    </w:p>
    <w:p w:rsidR="00292D5D" w:rsidRDefault="00292D5D" w:rsidP="007D13E3">
      <w:pPr>
        <w:autoSpaceDE w:val="0"/>
        <w:autoSpaceDN w:val="0"/>
        <w:adjustRightInd w:val="0"/>
        <w:spacing w:before="120" w:line="276" w:lineRule="auto"/>
        <w:ind w:left="709" w:hanging="709"/>
        <w:rPr>
          <w:b/>
          <w:sz w:val="20"/>
          <w:szCs w:val="20"/>
          <w:lang w:val="en-US" w:eastAsia="de-DE"/>
        </w:rPr>
      </w:pPr>
    </w:p>
    <w:p w:rsidR="00292D5D" w:rsidRDefault="00292D5D" w:rsidP="007D13E3">
      <w:pPr>
        <w:autoSpaceDE w:val="0"/>
        <w:autoSpaceDN w:val="0"/>
        <w:adjustRightInd w:val="0"/>
        <w:spacing w:before="120" w:line="276" w:lineRule="auto"/>
        <w:ind w:left="709" w:hanging="709"/>
        <w:rPr>
          <w:b/>
          <w:sz w:val="20"/>
          <w:szCs w:val="20"/>
          <w:lang w:val="en-US" w:eastAsia="de-DE"/>
        </w:rPr>
      </w:pPr>
    </w:p>
    <w:p w:rsidR="00AB181E" w:rsidRDefault="00224AA6">
      <w:pPr>
        <w:pStyle w:val="Rechtsgrundlagenverzeichnis"/>
      </w:pPr>
      <w:r>
        <w:lastRenderedPageBreak/>
        <w:t>References</w:t>
      </w:r>
    </w:p>
    <w:p w:rsidR="00133EC1" w:rsidRPr="00E339DE" w:rsidRDefault="00133EC1" w:rsidP="00133EC1">
      <w:pPr>
        <w:pStyle w:val="Literaturverzeichnis1"/>
        <w:ind w:left="397" w:hanging="397"/>
        <w:rPr>
          <w:lang w:val="en-US"/>
        </w:rPr>
      </w:pPr>
      <w:r w:rsidRPr="00E339DE">
        <w:rPr>
          <w:lang w:val="en-US"/>
        </w:rPr>
        <w:t>Dingemanse, Mark/Blythe, Joe/Dirksmeyer, Tyko (2014)</w:t>
      </w:r>
      <w:r w:rsidR="00E339DE" w:rsidRPr="00E339DE">
        <w:rPr>
          <w:lang w:val="en-US"/>
        </w:rPr>
        <w:t>:</w:t>
      </w:r>
      <w:r w:rsidRPr="00E339DE">
        <w:rPr>
          <w:lang w:val="en-US"/>
        </w:rPr>
        <w:t xml:space="preserve"> Formats for Other-Initiation of Repair across Languages: An Exercise in Pragmatic Typology. In: Studies in Language,</w:t>
      </w:r>
      <w:r w:rsidRPr="00E339DE">
        <w:rPr>
          <w:i/>
          <w:lang w:val="en-US"/>
        </w:rPr>
        <w:t xml:space="preserve"> </w:t>
      </w:r>
      <w:r w:rsidRPr="00E339DE">
        <w:rPr>
          <w:lang w:val="en-US"/>
        </w:rPr>
        <w:t xml:space="preserve">38: pp. </w:t>
      </w:r>
      <w:r w:rsidR="00E339DE" w:rsidRPr="00E339DE">
        <w:rPr>
          <w:lang w:val="en-US"/>
        </w:rPr>
        <w:t>5–</w:t>
      </w:r>
      <w:r w:rsidRPr="00E339DE">
        <w:rPr>
          <w:lang w:val="en-US"/>
        </w:rPr>
        <w:t>43.</w:t>
      </w:r>
    </w:p>
    <w:p w:rsidR="00133EC1" w:rsidRPr="00E339DE" w:rsidRDefault="00E339DE" w:rsidP="00133EC1">
      <w:pPr>
        <w:pStyle w:val="Literaturverzeichnis1"/>
        <w:ind w:left="397" w:hanging="397"/>
        <w:rPr>
          <w:lang w:val="en-US"/>
        </w:rPr>
      </w:pPr>
      <w:r w:rsidRPr="00E339DE">
        <w:rPr>
          <w:lang w:val="en-US"/>
        </w:rPr>
        <w:t>Evans, Nicholas/Levinson, Stephen C.</w:t>
      </w:r>
      <w:r w:rsidR="00133EC1" w:rsidRPr="00E339DE">
        <w:rPr>
          <w:lang w:val="en-US"/>
        </w:rPr>
        <w:t xml:space="preserve"> </w:t>
      </w:r>
      <w:r w:rsidRPr="00E339DE">
        <w:rPr>
          <w:lang w:val="en-US"/>
        </w:rPr>
        <w:t>(</w:t>
      </w:r>
      <w:r w:rsidR="00133EC1" w:rsidRPr="00E339DE">
        <w:rPr>
          <w:lang w:val="en-US"/>
        </w:rPr>
        <w:t>2009</w:t>
      </w:r>
      <w:r w:rsidRPr="00E339DE">
        <w:rPr>
          <w:lang w:val="en-US"/>
        </w:rPr>
        <w:t xml:space="preserve">): </w:t>
      </w:r>
      <w:r w:rsidR="00133EC1" w:rsidRPr="00E339DE">
        <w:rPr>
          <w:lang w:val="en-US"/>
        </w:rPr>
        <w:t>The Myth of Language Universals: Language Diversity and Its Im</w:t>
      </w:r>
      <w:r w:rsidRPr="00E339DE">
        <w:rPr>
          <w:lang w:val="en-US"/>
        </w:rPr>
        <w:t>portance for Cognitive Science. In:</w:t>
      </w:r>
      <w:r w:rsidR="00133EC1" w:rsidRPr="00E339DE">
        <w:rPr>
          <w:lang w:val="en-US"/>
        </w:rPr>
        <w:t xml:space="preserve"> Behavioral and Brain Sciences</w:t>
      </w:r>
      <w:r w:rsidRPr="00E339DE">
        <w:rPr>
          <w:lang w:val="en-US"/>
        </w:rPr>
        <w:t>, 32, pp. 429–</w:t>
      </w:r>
      <w:r w:rsidR="00133EC1" w:rsidRPr="00E339DE">
        <w:rPr>
          <w:lang w:val="en-US"/>
        </w:rPr>
        <w:t>448.</w:t>
      </w:r>
    </w:p>
    <w:p w:rsidR="00133EC1" w:rsidRPr="00E339DE" w:rsidRDefault="00E339DE" w:rsidP="00133EC1">
      <w:pPr>
        <w:pStyle w:val="Literaturverzeichnis1"/>
        <w:ind w:left="397" w:hanging="397"/>
        <w:rPr>
          <w:lang w:val="en-US"/>
        </w:rPr>
      </w:pPr>
      <w:r w:rsidRPr="00E339DE">
        <w:rPr>
          <w:lang w:val="en-US"/>
        </w:rPr>
        <w:t>Floyd, Simeon/</w:t>
      </w:r>
      <w:r w:rsidR="00133EC1" w:rsidRPr="00E339DE">
        <w:rPr>
          <w:lang w:val="en-US"/>
        </w:rPr>
        <w:t>Ro</w:t>
      </w:r>
      <w:r w:rsidRPr="00E339DE">
        <w:rPr>
          <w:lang w:val="en-US"/>
        </w:rPr>
        <w:t>ssi, Giovanni/Enfield, Nick J. (eds.)</w:t>
      </w:r>
      <w:r w:rsidR="00133EC1" w:rsidRPr="00E339DE">
        <w:rPr>
          <w:lang w:val="en-US"/>
        </w:rPr>
        <w:t xml:space="preserve"> </w:t>
      </w:r>
      <w:r w:rsidRPr="00E339DE">
        <w:rPr>
          <w:lang w:val="en-US"/>
        </w:rPr>
        <w:t>(</w:t>
      </w:r>
      <w:r w:rsidR="00133EC1" w:rsidRPr="00E339DE">
        <w:rPr>
          <w:lang w:val="en-US"/>
        </w:rPr>
        <w:t>2020</w:t>
      </w:r>
      <w:r w:rsidRPr="00E339DE">
        <w:rPr>
          <w:lang w:val="en-US"/>
        </w:rPr>
        <w:t>):</w:t>
      </w:r>
      <w:r w:rsidR="00133EC1" w:rsidRPr="00E339DE">
        <w:rPr>
          <w:lang w:val="en-US"/>
        </w:rPr>
        <w:t xml:space="preserve"> </w:t>
      </w:r>
      <w:r w:rsidR="00133EC1" w:rsidRPr="00E339DE">
        <w:rPr>
          <w:iCs/>
          <w:lang w:val="en-US"/>
        </w:rPr>
        <w:t>Getting Others to Do Things: A Pragmatic Typology of Recruitments</w:t>
      </w:r>
      <w:r w:rsidR="00133EC1" w:rsidRPr="00E339DE">
        <w:rPr>
          <w:lang w:val="en-US"/>
        </w:rPr>
        <w:t>. Berlin: Language Science Press.</w:t>
      </w:r>
    </w:p>
    <w:p w:rsidR="00133EC1" w:rsidRPr="00E339DE" w:rsidRDefault="00133EC1" w:rsidP="00133EC1">
      <w:pPr>
        <w:pStyle w:val="Literaturverzeichnis1"/>
        <w:ind w:left="397" w:hanging="397"/>
        <w:rPr>
          <w:lang w:val="en-CA"/>
        </w:rPr>
      </w:pPr>
      <w:r w:rsidRPr="00E339DE">
        <w:rPr>
          <w:lang w:val="en-CA"/>
        </w:rPr>
        <w:t xml:space="preserve">Ford, Cecilia E. </w:t>
      </w:r>
      <w:r w:rsidR="00E339DE" w:rsidRPr="00E339DE">
        <w:rPr>
          <w:lang w:val="en-CA"/>
        </w:rPr>
        <w:t>(</w:t>
      </w:r>
      <w:r w:rsidRPr="00E339DE">
        <w:rPr>
          <w:lang w:val="en-CA"/>
        </w:rPr>
        <w:t>2001</w:t>
      </w:r>
      <w:r w:rsidR="00E339DE" w:rsidRPr="00E339DE">
        <w:rPr>
          <w:lang w:val="en-CA"/>
        </w:rPr>
        <w:t xml:space="preserve">): </w:t>
      </w:r>
      <w:r w:rsidRPr="00E339DE">
        <w:rPr>
          <w:lang w:val="en-CA"/>
        </w:rPr>
        <w:t>At the intersection of turn and sequenc</w:t>
      </w:r>
      <w:r w:rsidR="00E339DE" w:rsidRPr="00E339DE">
        <w:rPr>
          <w:lang w:val="en-CA"/>
        </w:rPr>
        <w:t>e: Negation and what comes next</w:t>
      </w:r>
      <w:r w:rsidRPr="00E339DE">
        <w:rPr>
          <w:lang w:val="en-CA"/>
        </w:rPr>
        <w:t>. In</w:t>
      </w:r>
      <w:r w:rsidR="00E339DE" w:rsidRPr="00E339DE">
        <w:rPr>
          <w:lang w:val="en-CA"/>
        </w:rPr>
        <w:t xml:space="preserve">: </w:t>
      </w:r>
      <w:r w:rsidR="00E339DE" w:rsidRPr="00E339DE">
        <w:rPr>
          <w:lang w:val="en-CA"/>
        </w:rPr>
        <w:t>Selting</w:t>
      </w:r>
      <w:r w:rsidR="00E339DE" w:rsidRPr="00E339DE">
        <w:rPr>
          <w:lang w:val="en-CA"/>
        </w:rPr>
        <w:t xml:space="preserve">, </w:t>
      </w:r>
      <w:r w:rsidR="00E339DE" w:rsidRPr="00E339DE">
        <w:rPr>
          <w:lang w:val="en-CA"/>
        </w:rPr>
        <w:t>Margret</w:t>
      </w:r>
      <w:r w:rsidR="00E339DE" w:rsidRPr="00E339DE">
        <w:rPr>
          <w:lang w:val="en-CA"/>
        </w:rPr>
        <w:t>/</w:t>
      </w:r>
      <w:r w:rsidR="00E339DE" w:rsidRPr="00E339DE">
        <w:rPr>
          <w:lang w:val="en-CA"/>
        </w:rPr>
        <w:t>Couper-Kuhlen</w:t>
      </w:r>
      <w:r w:rsidR="00E339DE" w:rsidRPr="00E339DE">
        <w:rPr>
          <w:lang w:val="en-CA"/>
        </w:rPr>
        <w:t xml:space="preserve">, </w:t>
      </w:r>
      <w:r w:rsidR="00E339DE" w:rsidRPr="00E339DE">
        <w:rPr>
          <w:lang w:val="en-CA"/>
        </w:rPr>
        <w:t xml:space="preserve">Elisabeth </w:t>
      </w:r>
      <w:r w:rsidR="00E339DE" w:rsidRPr="00E339DE">
        <w:rPr>
          <w:lang w:val="en-CA"/>
        </w:rPr>
        <w:t>(eds.):</w:t>
      </w:r>
      <w:r w:rsidRPr="00E339DE">
        <w:rPr>
          <w:lang w:val="en-CA"/>
        </w:rPr>
        <w:t xml:space="preserve"> Studies in Interactional Linguistics. Amsterdam: John Benjamins</w:t>
      </w:r>
      <w:r w:rsidR="00E339DE" w:rsidRPr="00E339DE">
        <w:rPr>
          <w:lang w:val="en-CA"/>
        </w:rPr>
        <w:t>, pp. 51–</w:t>
      </w:r>
      <w:r w:rsidR="00E339DE" w:rsidRPr="00E339DE">
        <w:rPr>
          <w:lang w:val="en-CA"/>
        </w:rPr>
        <w:t>79</w:t>
      </w:r>
      <w:r w:rsidRPr="00E339DE">
        <w:rPr>
          <w:lang w:val="en-CA"/>
        </w:rPr>
        <w:t>.</w:t>
      </w:r>
    </w:p>
    <w:p w:rsidR="00133EC1" w:rsidRPr="00E339DE" w:rsidRDefault="00E339DE" w:rsidP="00133EC1">
      <w:pPr>
        <w:pStyle w:val="Literaturverzeichnis1"/>
        <w:ind w:left="397" w:hanging="397"/>
        <w:rPr>
          <w:lang w:val="en-US"/>
        </w:rPr>
      </w:pPr>
      <w:r w:rsidRPr="00E339DE">
        <w:rPr>
          <w:lang w:val="en-US"/>
        </w:rPr>
        <w:t>Fox, Barbara A./</w:t>
      </w:r>
      <w:r w:rsidR="00133EC1" w:rsidRPr="00E339DE">
        <w:rPr>
          <w:lang w:val="en-US"/>
        </w:rPr>
        <w:t xml:space="preserve">Wouk, </w:t>
      </w:r>
      <w:r w:rsidRPr="00E339DE">
        <w:rPr>
          <w:lang w:val="en-US"/>
        </w:rPr>
        <w:t>Fay/</w:t>
      </w:r>
      <w:r w:rsidR="00133EC1" w:rsidRPr="00E339DE">
        <w:rPr>
          <w:lang w:val="en-US"/>
        </w:rPr>
        <w:t xml:space="preserve">Hayashi, </w:t>
      </w:r>
      <w:r w:rsidRPr="00E339DE">
        <w:rPr>
          <w:lang w:val="en-US"/>
        </w:rPr>
        <w:t>Makoto/</w:t>
      </w:r>
      <w:r w:rsidR="00133EC1" w:rsidRPr="00E339DE">
        <w:rPr>
          <w:lang w:val="en-US"/>
        </w:rPr>
        <w:t xml:space="preserve">Fincke, </w:t>
      </w:r>
      <w:r w:rsidRPr="00E339DE">
        <w:rPr>
          <w:lang w:val="en-US"/>
        </w:rPr>
        <w:t>Steven/</w:t>
      </w:r>
      <w:r w:rsidR="00133EC1" w:rsidRPr="00E339DE">
        <w:rPr>
          <w:lang w:val="en-US"/>
        </w:rPr>
        <w:t>Tao,</w:t>
      </w:r>
      <w:r w:rsidRPr="00E339DE">
        <w:rPr>
          <w:lang w:val="en-US"/>
        </w:rPr>
        <w:t xml:space="preserve"> Liang/</w:t>
      </w:r>
      <w:r w:rsidR="00133EC1" w:rsidRPr="00E339DE">
        <w:rPr>
          <w:lang w:val="en-US"/>
        </w:rPr>
        <w:t xml:space="preserve">Sorjonen, </w:t>
      </w:r>
      <w:r w:rsidRPr="00E339DE">
        <w:rPr>
          <w:lang w:val="en-US"/>
        </w:rPr>
        <w:t>Marja-Leena/</w:t>
      </w:r>
      <w:r w:rsidR="00133EC1" w:rsidRPr="00E339DE">
        <w:rPr>
          <w:lang w:val="en-US"/>
        </w:rPr>
        <w:t>Laakso,</w:t>
      </w:r>
      <w:r w:rsidRPr="00E339DE">
        <w:rPr>
          <w:lang w:val="en-US"/>
        </w:rPr>
        <w:t xml:space="preserve"> Minna/</w:t>
      </w:r>
      <w:r w:rsidR="00133EC1" w:rsidRPr="00E339DE">
        <w:rPr>
          <w:lang w:val="en-US"/>
        </w:rPr>
        <w:t>Hernandez</w:t>
      </w:r>
      <w:r w:rsidRPr="00E339DE">
        <w:rPr>
          <w:lang w:val="en-US"/>
        </w:rPr>
        <w:t xml:space="preserve">, </w:t>
      </w:r>
      <w:r w:rsidRPr="00E339DE">
        <w:rPr>
          <w:lang w:val="en-US"/>
        </w:rPr>
        <w:t>Wilfrido F.</w:t>
      </w:r>
      <w:r w:rsidR="00133EC1" w:rsidRPr="00E339DE">
        <w:rPr>
          <w:lang w:val="en-US"/>
        </w:rPr>
        <w:t xml:space="preserve"> </w:t>
      </w:r>
      <w:r w:rsidRPr="00E339DE">
        <w:rPr>
          <w:lang w:val="en-US"/>
        </w:rPr>
        <w:t xml:space="preserve">(2009): </w:t>
      </w:r>
      <w:r w:rsidR="00133EC1" w:rsidRPr="00E339DE">
        <w:rPr>
          <w:lang w:val="en-US"/>
        </w:rPr>
        <w:t xml:space="preserve">A Cross-Linguistic Investigation of the Site of Initiation in </w:t>
      </w:r>
      <w:r w:rsidRPr="00E339DE">
        <w:rPr>
          <w:lang w:val="en-US"/>
        </w:rPr>
        <w:t>Same-Turn Self-Repair.</w:t>
      </w:r>
      <w:r w:rsidR="00133EC1" w:rsidRPr="00E339DE">
        <w:rPr>
          <w:lang w:val="en-US"/>
        </w:rPr>
        <w:t xml:space="preserve"> In</w:t>
      </w:r>
      <w:r w:rsidRPr="00E339DE">
        <w:rPr>
          <w:lang w:val="en-US"/>
        </w:rPr>
        <w:t>: Sidnell, Jack (ed.):</w:t>
      </w:r>
      <w:r w:rsidR="00133EC1" w:rsidRPr="00E339DE">
        <w:rPr>
          <w:lang w:val="en-US"/>
        </w:rPr>
        <w:t xml:space="preserve"> Conversation Analysis: Comparative Perspectives. Cambridge: Cambridge University Press</w:t>
      </w:r>
      <w:r w:rsidRPr="00E339DE">
        <w:rPr>
          <w:lang w:val="en-US"/>
        </w:rPr>
        <w:t xml:space="preserve">, pp. </w:t>
      </w:r>
      <w:r w:rsidRPr="00E339DE">
        <w:rPr>
          <w:lang w:val="en-US"/>
        </w:rPr>
        <w:t>60–103</w:t>
      </w:r>
      <w:r w:rsidR="00133EC1" w:rsidRPr="00E339DE">
        <w:rPr>
          <w:lang w:val="en-US"/>
        </w:rPr>
        <w:t>.</w:t>
      </w:r>
    </w:p>
    <w:p w:rsidR="00133EC1" w:rsidRPr="00E339DE" w:rsidRDefault="00E339DE" w:rsidP="00133EC1">
      <w:pPr>
        <w:pStyle w:val="Literaturverzeichnis1"/>
        <w:ind w:left="397" w:hanging="397"/>
        <w:rPr>
          <w:lang w:val="en-US"/>
        </w:rPr>
      </w:pPr>
      <w:r w:rsidRPr="00E339DE">
        <w:rPr>
          <w:lang w:val="en-US"/>
        </w:rPr>
        <w:t>Ghaderi, Soleiman (</w:t>
      </w:r>
      <w:r w:rsidR="00133EC1" w:rsidRPr="00E339DE">
        <w:rPr>
          <w:lang w:val="en-US"/>
        </w:rPr>
        <w:t>2022</w:t>
      </w:r>
      <w:r w:rsidRPr="00E339DE">
        <w:rPr>
          <w:lang w:val="en-US"/>
        </w:rPr>
        <w:t xml:space="preserve">): </w:t>
      </w:r>
      <w:r w:rsidR="00133EC1" w:rsidRPr="00E339DE">
        <w:rPr>
          <w:lang w:val="en-US"/>
        </w:rPr>
        <w:t>Outside the clause: F</w:t>
      </w:r>
      <w:r w:rsidRPr="00E339DE">
        <w:rPr>
          <w:lang w:val="en-US"/>
        </w:rPr>
        <w:t>unctions of the Persian na ‘no’</w:t>
      </w:r>
      <w:r w:rsidR="00133EC1" w:rsidRPr="00E339DE">
        <w:rPr>
          <w:lang w:val="en-US"/>
        </w:rPr>
        <w:t>.</w:t>
      </w:r>
      <w:r w:rsidRPr="00E339DE">
        <w:rPr>
          <w:lang w:val="en-US"/>
        </w:rPr>
        <w:t xml:space="preserve"> In:</w:t>
      </w:r>
      <w:r w:rsidR="00133EC1" w:rsidRPr="00E339DE">
        <w:rPr>
          <w:lang w:val="en-US"/>
        </w:rPr>
        <w:t> Journal of Pragmatics</w:t>
      </w:r>
      <w:r w:rsidRPr="00E339DE">
        <w:rPr>
          <w:lang w:val="en-US"/>
        </w:rPr>
        <w:t>, 197, pp.</w:t>
      </w:r>
      <w:r w:rsidR="00133EC1" w:rsidRPr="00E339DE">
        <w:rPr>
          <w:lang w:val="en-US"/>
        </w:rPr>
        <w:t xml:space="preserve"> 100-117.</w:t>
      </w:r>
    </w:p>
    <w:p w:rsidR="00133EC1" w:rsidRPr="00E339DE" w:rsidRDefault="00E339DE" w:rsidP="00133EC1">
      <w:pPr>
        <w:pStyle w:val="Literaturverzeichnis1"/>
        <w:ind w:left="397" w:hanging="397"/>
        <w:rPr>
          <w:lang w:val="en-US"/>
        </w:rPr>
      </w:pPr>
      <w:r w:rsidRPr="00E339DE">
        <w:rPr>
          <w:lang w:val="en-US"/>
        </w:rPr>
        <w:t>Gubina, Alexandra/</w:t>
      </w:r>
      <w:r w:rsidR="00133EC1" w:rsidRPr="00E339DE">
        <w:rPr>
          <w:lang w:val="en-US"/>
        </w:rPr>
        <w:t>Betz</w:t>
      </w:r>
      <w:r w:rsidRPr="00E339DE">
        <w:rPr>
          <w:lang w:val="en-US"/>
        </w:rPr>
        <w:t>, Emma</w:t>
      </w:r>
      <w:r w:rsidR="00133EC1" w:rsidRPr="00E339DE">
        <w:rPr>
          <w:lang w:val="en-US"/>
        </w:rPr>
        <w:t xml:space="preserve"> </w:t>
      </w:r>
      <w:r w:rsidRPr="00E339DE">
        <w:rPr>
          <w:lang w:val="en-US"/>
        </w:rPr>
        <w:t>(</w:t>
      </w:r>
      <w:r w:rsidR="00133EC1" w:rsidRPr="00E339DE">
        <w:rPr>
          <w:lang w:val="en-US"/>
        </w:rPr>
        <w:t>2021</w:t>
      </w:r>
      <w:r w:rsidRPr="00E339DE">
        <w:rPr>
          <w:lang w:val="en-US"/>
        </w:rPr>
        <w:t xml:space="preserve">): </w:t>
      </w:r>
      <w:r w:rsidR="00133EC1" w:rsidRPr="00E339DE">
        <w:rPr>
          <w:lang w:val="en-US"/>
        </w:rPr>
        <w:t xml:space="preserve">What do newsmark-type responses invite? The response space after German </w:t>
      </w:r>
      <w:r w:rsidR="00133EC1" w:rsidRPr="00E339DE">
        <w:rPr>
          <w:i/>
          <w:lang w:val="en-US"/>
        </w:rPr>
        <w:t>echt</w:t>
      </w:r>
      <w:r w:rsidR="00133EC1" w:rsidRPr="00E339DE">
        <w:rPr>
          <w:lang w:val="en-US"/>
        </w:rPr>
        <w:t>.</w:t>
      </w:r>
      <w:r w:rsidRPr="00E339DE">
        <w:rPr>
          <w:lang w:val="en-US"/>
        </w:rPr>
        <w:t xml:space="preserve"> In:</w:t>
      </w:r>
      <w:r w:rsidR="00133EC1" w:rsidRPr="00E339DE">
        <w:rPr>
          <w:lang w:val="en-US"/>
        </w:rPr>
        <w:t xml:space="preserve"> Research on language and social interaction</w:t>
      </w:r>
      <w:r w:rsidRPr="00E339DE">
        <w:rPr>
          <w:lang w:val="en-US"/>
        </w:rPr>
        <w:t xml:space="preserve"> 54, pp. 374–</w:t>
      </w:r>
      <w:r w:rsidR="00133EC1" w:rsidRPr="00E339DE">
        <w:rPr>
          <w:lang w:val="en-US"/>
        </w:rPr>
        <w:t>396.</w:t>
      </w:r>
    </w:p>
    <w:p w:rsidR="00133EC1" w:rsidRPr="00E339DE" w:rsidRDefault="00E339DE" w:rsidP="00133EC1">
      <w:pPr>
        <w:pStyle w:val="Literaturverzeichnis1"/>
        <w:ind w:left="397" w:hanging="397"/>
        <w:rPr>
          <w:lang w:val="de-DE"/>
        </w:rPr>
      </w:pPr>
      <w:r w:rsidRPr="00E339DE">
        <w:rPr>
          <w:lang w:val="de-DE"/>
        </w:rPr>
        <w:t>Imo, Wolfgang</w:t>
      </w:r>
      <w:r w:rsidR="00133EC1" w:rsidRPr="00E339DE">
        <w:rPr>
          <w:lang w:val="de-DE"/>
        </w:rPr>
        <w:t xml:space="preserve"> </w:t>
      </w:r>
      <w:r w:rsidRPr="00E339DE">
        <w:rPr>
          <w:lang w:val="de-DE"/>
        </w:rPr>
        <w:t>(</w:t>
      </w:r>
      <w:r w:rsidR="00133EC1" w:rsidRPr="00E339DE">
        <w:rPr>
          <w:lang w:val="de-DE"/>
        </w:rPr>
        <w:t>2017</w:t>
      </w:r>
      <w:r w:rsidRPr="00E339DE">
        <w:rPr>
          <w:lang w:val="de-DE"/>
        </w:rPr>
        <w:t xml:space="preserve">): </w:t>
      </w:r>
      <w:r w:rsidR="00133EC1" w:rsidRPr="00E339DE">
        <w:rPr>
          <w:lang w:val="de-DE"/>
        </w:rPr>
        <w:t xml:space="preserve">Über </w:t>
      </w:r>
      <w:r w:rsidR="00133EC1" w:rsidRPr="00E339DE">
        <w:rPr>
          <w:i/>
          <w:lang w:val="de-DE"/>
        </w:rPr>
        <w:t>nein</w:t>
      </w:r>
      <w:r w:rsidR="00133EC1" w:rsidRPr="00E339DE">
        <w:rPr>
          <w:lang w:val="de-DE"/>
        </w:rPr>
        <w:t>.</w:t>
      </w:r>
      <w:r w:rsidRPr="00E339DE">
        <w:rPr>
          <w:lang w:val="de-DE"/>
        </w:rPr>
        <w:t xml:space="preserve"> In:</w:t>
      </w:r>
      <w:r w:rsidR="00133EC1" w:rsidRPr="00E339DE">
        <w:rPr>
          <w:lang w:val="de-DE"/>
        </w:rPr>
        <w:t xml:space="preserve"> Zeitschrift für germanistische Linguistik 45</w:t>
      </w:r>
      <w:r w:rsidRPr="00E339DE">
        <w:rPr>
          <w:lang w:val="de-DE"/>
        </w:rPr>
        <w:t>, pp. 40–</w:t>
      </w:r>
      <w:r w:rsidR="00133EC1" w:rsidRPr="00E339DE">
        <w:rPr>
          <w:lang w:val="de-DE"/>
        </w:rPr>
        <w:t>72.</w:t>
      </w:r>
    </w:p>
    <w:p w:rsidR="00133EC1" w:rsidRPr="00E339DE" w:rsidRDefault="00E339DE" w:rsidP="00133EC1">
      <w:pPr>
        <w:pStyle w:val="Literaturverzeichnis1"/>
        <w:ind w:left="397" w:hanging="397"/>
        <w:rPr>
          <w:lang w:val="en-US"/>
        </w:rPr>
      </w:pPr>
      <w:r w:rsidRPr="00E339DE">
        <w:rPr>
          <w:lang w:val="en-US"/>
        </w:rPr>
        <w:t>Sidnell, Jack/</w:t>
      </w:r>
      <w:r w:rsidR="00133EC1" w:rsidRPr="00E339DE">
        <w:rPr>
          <w:lang w:val="en-US"/>
        </w:rPr>
        <w:t>Enfield</w:t>
      </w:r>
      <w:r w:rsidRPr="00E339DE">
        <w:rPr>
          <w:lang w:val="en-US"/>
        </w:rPr>
        <w:t xml:space="preserve">, </w:t>
      </w:r>
      <w:r w:rsidRPr="00E339DE">
        <w:rPr>
          <w:lang w:val="en-US"/>
        </w:rPr>
        <w:t>Nick J.</w:t>
      </w:r>
      <w:r w:rsidR="00133EC1" w:rsidRPr="00E339DE">
        <w:rPr>
          <w:lang w:val="en-US"/>
        </w:rPr>
        <w:t xml:space="preserve"> </w:t>
      </w:r>
      <w:r w:rsidRPr="00E339DE">
        <w:rPr>
          <w:lang w:val="en-US"/>
        </w:rPr>
        <w:t xml:space="preserve">(2012): </w:t>
      </w:r>
      <w:r w:rsidR="00133EC1" w:rsidRPr="00E339DE">
        <w:rPr>
          <w:lang w:val="en-US"/>
        </w:rPr>
        <w:t xml:space="preserve">Language Diversity and Social Action: A Third </w:t>
      </w:r>
      <w:r w:rsidRPr="00E339DE">
        <w:rPr>
          <w:lang w:val="en-US"/>
        </w:rPr>
        <w:t>Locus of Linguistic Relativity.</w:t>
      </w:r>
      <w:r w:rsidR="00133EC1" w:rsidRPr="00E339DE">
        <w:rPr>
          <w:lang w:val="en-US"/>
        </w:rPr>
        <w:t xml:space="preserve"> Current Anthropology</w:t>
      </w:r>
      <w:r w:rsidR="00133EC1" w:rsidRPr="00E339DE">
        <w:rPr>
          <w:i/>
          <w:lang w:val="en-US"/>
        </w:rPr>
        <w:t xml:space="preserve"> </w:t>
      </w:r>
      <w:r w:rsidRPr="00E339DE">
        <w:rPr>
          <w:lang w:val="en-US"/>
        </w:rPr>
        <w:t>53, pp. 302–</w:t>
      </w:r>
      <w:r w:rsidR="00133EC1" w:rsidRPr="00E339DE">
        <w:rPr>
          <w:lang w:val="en-US"/>
        </w:rPr>
        <w:t>333.</w:t>
      </w:r>
    </w:p>
    <w:p w:rsidR="00133EC1" w:rsidRPr="00133EC1" w:rsidRDefault="00E339DE" w:rsidP="00133EC1">
      <w:pPr>
        <w:pStyle w:val="Literaturverzeichnis1"/>
        <w:ind w:left="397" w:hanging="397"/>
        <w:rPr>
          <w:lang w:val="en-US"/>
        </w:rPr>
      </w:pPr>
      <w:r w:rsidRPr="00E339DE">
        <w:rPr>
          <w:lang w:val="en-US"/>
        </w:rPr>
        <w:t>Sidnell, Jack/</w:t>
      </w:r>
      <w:r w:rsidR="00133EC1" w:rsidRPr="00E339DE">
        <w:rPr>
          <w:lang w:val="en-US"/>
        </w:rPr>
        <w:t>Stivers</w:t>
      </w:r>
      <w:r w:rsidRPr="00E339DE">
        <w:rPr>
          <w:lang w:val="en-US"/>
        </w:rPr>
        <w:t>, Tanya (eds.)</w:t>
      </w:r>
      <w:r w:rsidR="00133EC1" w:rsidRPr="00E339DE">
        <w:rPr>
          <w:lang w:val="en-US"/>
        </w:rPr>
        <w:t xml:space="preserve"> </w:t>
      </w:r>
      <w:r w:rsidRPr="00E339DE">
        <w:rPr>
          <w:lang w:val="en-US"/>
        </w:rPr>
        <w:t>(2013):</w:t>
      </w:r>
      <w:r w:rsidR="00133EC1" w:rsidRPr="00E339DE">
        <w:rPr>
          <w:lang w:val="en-US"/>
        </w:rPr>
        <w:t xml:space="preserve"> The Handbook of Conversation Analysis. Chichester, UK: Wiley-Blackwell.</w:t>
      </w:r>
      <w:r w:rsidR="00133EC1" w:rsidRPr="00133EC1">
        <w:rPr>
          <w:lang w:val="en-US"/>
        </w:rPr>
        <w:t xml:space="preserve"> </w:t>
      </w:r>
    </w:p>
    <w:p w:rsidR="00133EC1" w:rsidRDefault="00133EC1">
      <w:pPr>
        <w:pStyle w:val="Literaturverzeichnis1"/>
        <w:ind w:left="397" w:hanging="397"/>
      </w:pPr>
    </w:p>
    <w:p w:rsidR="00AB181E" w:rsidRDefault="00224AA6">
      <w:pPr>
        <w:pStyle w:val="berschrift1"/>
      </w:pPr>
      <w:r>
        <w:t>Contact information</w:t>
      </w:r>
    </w:p>
    <w:p w:rsidR="00AB181E" w:rsidRDefault="000A4614">
      <w:r>
        <w:rPr>
          <w:rStyle w:val="Fett"/>
        </w:rPr>
        <w:t>Alexandra Gubina</w:t>
      </w:r>
    </w:p>
    <w:p w:rsidR="00AB181E" w:rsidRPr="000A4614" w:rsidRDefault="00224AA6">
      <w:pPr>
        <w:rPr>
          <w:lang w:val="de-DE"/>
        </w:rPr>
      </w:pPr>
      <w:r w:rsidRPr="000A4614">
        <w:rPr>
          <w:lang w:val="de-DE"/>
        </w:rPr>
        <w:t>Leibniz-Institut für Deutsche Sprache</w:t>
      </w:r>
    </w:p>
    <w:p w:rsidR="00AB181E" w:rsidRPr="000A4614" w:rsidRDefault="000A4614">
      <w:pPr>
        <w:rPr>
          <w:lang w:val="de-DE"/>
        </w:rPr>
      </w:pPr>
      <w:hyperlink r:id="rId10" w:history="1">
        <w:r w:rsidRPr="00243F7E">
          <w:rPr>
            <w:rStyle w:val="Hyperlink"/>
            <w:lang w:val="de-DE"/>
          </w:rPr>
          <w:t>gubina@ids-mannheim.de</w:t>
        </w:r>
      </w:hyperlink>
    </w:p>
    <w:p w:rsidR="00AB181E" w:rsidRPr="000A4614" w:rsidRDefault="00AB181E">
      <w:pPr>
        <w:pStyle w:val="Literaturverzeichnis1"/>
        <w:ind w:left="0" w:firstLine="0"/>
        <w:rPr>
          <w:lang w:val="de-DE"/>
        </w:rPr>
      </w:pPr>
    </w:p>
    <w:p w:rsidR="00AB181E" w:rsidRPr="000A4614" w:rsidRDefault="000A4614" w:rsidP="000A4614">
      <w:pPr>
        <w:rPr>
          <w:rStyle w:val="Fett"/>
        </w:rPr>
      </w:pPr>
      <w:r w:rsidRPr="000A4614">
        <w:rPr>
          <w:rStyle w:val="Fett"/>
        </w:rPr>
        <w:t>Emma Betz</w:t>
      </w:r>
    </w:p>
    <w:p w:rsidR="000A4614" w:rsidRPr="000A4614" w:rsidRDefault="000A4614" w:rsidP="000A4614">
      <w:pPr>
        <w:rPr>
          <w:lang w:val="de-DE"/>
        </w:rPr>
      </w:pPr>
      <w:r w:rsidRPr="000A4614">
        <w:rPr>
          <w:lang w:val="de-DE"/>
        </w:rPr>
        <w:t>University of Waterloo</w:t>
      </w:r>
    </w:p>
    <w:p w:rsidR="000A4614" w:rsidRPr="000A4614" w:rsidRDefault="000A4614" w:rsidP="000A4614">
      <w:pPr>
        <w:rPr>
          <w:rStyle w:val="Hyperlink"/>
          <w:lang w:val="de-DE"/>
        </w:rPr>
      </w:pPr>
      <w:hyperlink r:id="rId11" w:history="1">
        <w:r w:rsidRPr="000A4614">
          <w:rPr>
            <w:rStyle w:val="Hyperlink"/>
            <w:lang w:val="de-DE"/>
          </w:rPr>
          <w:t>embetz@uwaterloo.ca</w:t>
        </w:r>
      </w:hyperlink>
    </w:p>
    <w:p w:rsidR="000A4614" w:rsidRPr="00292D5D" w:rsidRDefault="000A4614">
      <w:pPr>
        <w:pStyle w:val="Literaturverzeichnis1"/>
        <w:ind w:left="0" w:firstLine="0"/>
        <w:rPr>
          <w:lang w:val="de-DE"/>
        </w:rPr>
      </w:pPr>
    </w:p>
    <w:p w:rsidR="000A4614" w:rsidRPr="00292D5D" w:rsidRDefault="00292D5D" w:rsidP="000A4614">
      <w:pPr>
        <w:rPr>
          <w:rStyle w:val="Fett"/>
          <w:lang w:val="de-DE"/>
        </w:rPr>
      </w:pPr>
      <w:r w:rsidRPr="00292D5D">
        <w:rPr>
          <w:rStyle w:val="Fett"/>
          <w:lang w:val="de-DE"/>
        </w:rPr>
        <w:t>Carmen</w:t>
      </w:r>
      <w:r w:rsidRPr="00292D5D">
        <w:rPr>
          <w:rStyle w:val="Fett"/>
          <w:lang w:val="de-DE"/>
        </w:rPr>
        <w:t xml:space="preserve"> Taleghani-Nikazm</w:t>
      </w:r>
    </w:p>
    <w:p w:rsidR="000A4614" w:rsidRPr="000A4614" w:rsidRDefault="000A4614" w:rsidP="000A4614">
      <w:pPr>
        <w:rPr>
          <w:lang w:val="de-DE"/>
        </w:rPr>
      </w:pPr>
      <w:r w:rsidRPr="000A4614">
        <w:rPr>
          <w:lang w:val="de-DE"/>
        </w:rPr>
        <w:t>The Ohio State University</w:t>
      </w:r>
    </w:p>
    <w:p w:rsidR="000A4614" w:rsidRPr="000A4614" w:rsidRDefault="000A4614" w:rsidP="000A4614">
      <w:pPr>
        <w:rPr>
          <w:rStyle w:val="Hyperlink"/>
          <w:lang w:val="de-DE"/>
        </w:rPr>
      </w:pPr>
      <w:hyperlink r:id="rId12" w:history="1">
        <w:r w:rsidRPr="000A4614">
          <w:rPr>
            <w:rStyle w:val="Hyperlink"/>
            <w:lang w:val="de-DE"/>
          </w:rPr>
          <w:t>taleghani-nikazm.1@osu.edu</w:t>
        </w:r>
      </w:hyperlink>
    </w:p>
    <w:p w:rsidR="000A4614" w:rsidRDefault="000A4614">
      <w:pPr>
        <w:pStyle w:val="Literaturverzeichnis1"/>
        <w:ind w:left="0" w:firstLine="0"/>
      </w:pPr>
    </w:p>
    <w:p w:rsidR="000A4614" w:rsidRPr="000A4614" w:rsidRDefault="00292D5D" w:rsidP="000A4614">
      <w:pPr>
        <w:rPr>
          <w:rStyle w:val="Fett"/>
        </w:rPr>
      </w:pPr>
      <w:r w:rsidRPr="000A4614">
        <w:rPr>
          <w:rStyle w:val="Fett"/>
        </w:rPr>
        <w:t>Reihaneh</w:t>
      </w:r>
      <w:r>
        <w:rPr>
          <w:rStyle w:val="Fett"/>
        </w:rPr>
        <w:t xml:space="preserve"> </w:t>
      </w:r>
      <w:r w:rsidR="000A4614">
        <w:rPr>
          <w:rStyle w:val="Fett"/>
        </w:rPr>
        <w:t>Afshari Saleh</w:t>
      </w:r>
    </w:p>
    <w:p w:rsidR="000A4614" w:rsidRDefault="000A4614" w:rsidP="000A4614">
      <w:pPr>
        <w:rPr>
          <w:lang w:val="de-DE"/>
        </w:rPr>
      </w:pPr>
      <w:r>
        <w:rPr>
          <w:lang w:val="de-DE"/>
        </w:rPr>
        <w:t>Ulster University</w:t>
      </w:r>
    </w:p>
    <w:p w:rsidR="000A4614" w:rsidRPr="000A4614" w:rsidRDefault="000A4614" w:rsidP="000A4614">
      <w:pPr>
        <w:rPr>
          <w:rStyle w:val="Hyperlink"/>
          <w:lang w:val="de-DE"/>
        </w:rPr>
      </w:pPr>
      <w:hyperlink r:id="rId13" w:history="1">
        <w:r w:rsidRPr="000A4614">
          <w:rPr>
            <w:rStyle w:val="Hyperlink"/>
            <w:lang w:val="de-DE"/>
          </w:rPr>
          <w:t>r.afshari-saleh@ulster.ac.uk</w:t>
        </w:r>
      </w:hyperlink>
    </w:p>
    <w:p w:rsidR="000A4614" w:rsidRPr="000A4614" w:rsidRDefault="000A4614" w:rsidP="000A4614">
      <w:pPr>
        <w:pStyle w:val="Literaturverzeichnis1"/>
        <w:ind w:left="0" w:firstLine="0"/>
        <w:rPr>
          <w:lang w:val="de-DE"/>
        </w:rPr>
      </w:pPr>
    </w:p>
    <w:sectPr w:rsidR="000A4614" w:rsidRPr="000A4614">
      <w:footerReference w:type="default" r:id="rId14"/>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4DF" w:rsidRDefault="00E244DF">
      <w:pPr>
        <w:spacing w:before="0" w:line="240" w:lineRule="auto"/>
      </w:pPr>
      <w:r>
        <w:separator/>
      </w:r>
    </w:p>
  </w:endnote>
  <w:endnote w:type="continuationSeparator" w:id="0">
    <w:p w:rsidR="00E244DF" w:rsidRDefault="00E244D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10E77F0A-9FBD-406E-AA5B-5C1658B57060}"/>
    <w:embedBold r:id="rId2" w:fontKey="{79D17211-710E-4B08-A694-92F147260193}"/>
    <w:embedItalic r:id="rId3" w:fontKey="{FDF97819-F4F1-4CF0-B238-FE0ED2BCB187}"/>
  </w:font>
  <w:font w:name="Tahoma">
    <w:panose1 w:val="020B0604030504040204"/>
    <w:charset w:val="00"/>
    <w:family w:val="swiss"/>
    <w:pitch w:val="variable"/>
    <w:sig w:usb0="E1002EFF" w:usb1="C000605B" w:usb2="00000029" w:usb3="00000000" w:csb0="000101FF" w:csb1="00000000"/>
    <w:embedRegular r:id="rId4" w:fontKey="{62B3909B-31AD-4E42-AE3C-C17863A1C8A2}"/>
    <w:embedBold r:id="rId5" w:fontKey="{FBD456CD-474E-4920-87B2-B51FB8AE98D5}"/>
    <w:embedItalic r:id="rId6" w:fontKey="{F7CE7214-9C79-4CA2-8EC3-F75BD06CEE7F}"/>
  </w:font>
  <w:font w:name="Libertinus Serif">
    <w:panose1 w:val="00000000000000000000"/>
    <w:charset w:val="00"/>
    <w:family w:val="modern"/>
    <w:notTrueType/>
    <w:pitch w:val="variable"/>
    <w:sig w:usb0="E0000AFF" w:usb1="0200E5FB" w:usb2="00000020" w:usb3="00000000" w:csb0="000001BF" w:csb1="00000000"/>
  </w:font>
  <w:font w:name="Fira Sans">
    <w:panose1 w:val="020B0503050000020004"/>
    <w:charset w:val="00"/>
    <w:family w:val="swiss"/>
    <w:notTrueType/>
    <w:pitch w:val="variable"/>
    <w:sig w:usb0="600002FF"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embedRegular r:id="rId7" w:fontKey="{56775834-C6F2-434F-BBFA-6EEBD9FBFF8B}"/>
  </w:font>
  <w:font w:name="Liberation Sans">
    <w:panose1 w:val="020B0604020202020204"/>
    <w:charset w:val="00"/>
    <w:family w:val="swiss"/>
    <w:pitch w:val="variable"/>
    <w:sig w:usb0="E0000AFF" w:usb1="500078FF" w:usb2="00000021" w:usb3="00000000" w:csb0="000001BF" w:csb1="00000000"/>
    <w:embedBold r:id="rId8" w:fontKey="{B31FE02A-3B4F-498D-BF8F-1EEA2D4AB404}"/>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9" w:fontKey="{F94F62F8-D10E-4053-948A-584D34CDF46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951621">
      <w:rPr>
        <w:rStyle w:val="Seitenzahl"/>
        <w:rFonts w:cs="Libertinus Serif"/>
        <w:noProof/>
      </w:rPr>
      <w:t>2</w:t>
    </w:r>
    <w:r>
      <w:rPr>
        <w:rStyle w:val="Seitenzahl"/>
        <w:rFonts w:cs="Libertinus Serif"/>
      </w:rPr>
      <w:fldChar w:fldCharType="end"/>
    </w:r>
  </w:p>
  <w:p w:rsidR="00AB181E" w:rsidRDefault="00AB181E">
    <w:pPr>
      <w:pStyle w:val="Fuzeile"/>
    </w:pPr>
  </w:p>
  <w:p w:rsidR="00AB181E" w:rsidRDefault="00AB181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4DF" w:rsidRDefault="00E244DF">
      <w:pPr>
        <w:rPr>
          <w:sz w:val="12"/>
        </w:rPr>
      </w:pPr>
      <w:r>
        <w:separator/>
      </w:r>
    </w:p>
  </w:footnote>
  <w:footnote w:type="continuationSeparator" w:id="0">
    <w:p w:rsidR="00E244DF" w:rsidRDefault="00E244DF">
      <w:pPr>
        <w:rPr>
          <w:sz w:val="12"/>
        </w:rPr>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1E"/>
    <w:rsid w:val="000A4614"/>
    <w:rsid w:val="000F11EC"/>
    <w:rsid w:val="00133EC1"/>
    <w:rsid w:val="00224AA6"/>
    <w:rsid w:val="00227F60"/>
    <w:rsid w:val="00292D5D"/>
    <w:rsid w:val="004C5262"/>
    <w:rsid w:val="00694682"/>
    <w:rsid w:val="00717483"/>
    <w:rsid w:val="007D13E3"/>
    <w:rsid w:val="00951621"/>
    <w:rsid w:val="009D4AD9"/>
    <w:rsid w:val="00A54BA3"/>
    <w:rsid w:val="00AB181E"/>
    <w:rsid w:val="00B22F8E"/>
    <w:rsid w:val="00C425D1"/>
    <w:rsid w:val="00DB1137"/>
    <w:rsid w:val="00E244DF"/>
    <w:rsid w:val="00E339DE"/>
    <w:rsid w:val="00E505F9"/>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0D79B"/>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 w:type="character" w:styleId="BesuchterLink">
    <w:name w:val="FollowedHyperlink"/>
    <w:basedOn w:val="Absatz-Standardschriftart"/>
    <w:uiPriority w:val="99"/>
    <w:semiHidden/>
    <w:unhideWhenUsed/>
    <w:rsid w:val="000A46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405406">
      <w:bodyDiv w:val="1"/>
      <w:marLeft w:val="0"/>
      <w:marRight w:val="0"/>
      <w:marTop w:val="0"/>
      <w:marBottom w:val="0"/>
      <w:divBdr>
        <w:top w:val="none" w:sz="0" w:space="0" w:color="auto"/>
        <w:left w:val="none" w:sz="0" w:space="0" w:color="auto"/>
        <w:bottom w:val="none" w:sz="0" w:space="0" w:color="auto"/>
        <w:right w:val="none" w:sz="0" w:space="0" w:color="auto"/>
      </w:divBdr>
      <w:divsChild>
        <w:div w:id="471413307">
          <w:marLeft w:val="0"/>
          <w:marRight w:val="0"/>
          <w:marTop w:val="0"/>
          <w:marBottom w:val="0"/>
          <w:divBdr>
            <w:top w:val="none" w:sz="0" w:space="0" w:color="auto"/>
            <w:left w:val="none" w:sz="0" w:space="0" w:color="auto"/>
            <w:bottom w:val="none" w:sz="0" w:space="0" w:color="auto"/>
            <w:right w:val="none" w:sz="0" w:space="0" w:color="auto"/>
          </w:divBdr>
        </w:div>
        <w:div w:id="658002051">
          <w:marLeft w:val="0"/>
          <w:marRight w:val="0"/>
          <w:marTop w:val="0"/>
          <w:marBottom w:val="0"/>
          <w:divBdr>
            <w:top w:val="none" w:sz="0" w:space="0" w:color="auto"/>
            <w:left w:val="none" w:sz="0" w:space="0" w:color="auto"/>
            <w:bottom w:val="none" w:sz="0" w:space="0" w:color="auto"/>
            <w:right w:val="none" w:sz="0" w:space="0" w:color="auto"/>
          </w:divBdr>
        </w:div>
        <w:div w:id="1680086047">
          <w:marLeft w:val="0"/>
          <w:marRight w:val="0"/>
          <w:marTop w:val="0"/>
          <w:marBottom w:val="0"/>
          <w:divBdr>
            <w:top w:val="none" w:sz="0" w:space="0" w:color="auto"/>
            <w:left w:val="none" w:sz="0" w:space="0" w:color="auto"/>
            <w:bottom w:val="none" w:sz="0" w:space="0" w:color="auto"/>
            <w:right w:val="none" w:sz="0" w:space="0" w:color="auto"/>
          </w:divBdr>
        </w:div>
        <w:div w:id="1991977199">
          <w:marLeft w:val="0"/>
          <w:marRight w:val="0"/>
          <w:marTop w:val="0"/>
          <w:marBottom w:val="0"/>
          <w:divBdr>
            <w:top w:val="none" w:sz="0" w:space="0" w:color="auto"/>
            <w:left w:val="none" w:sz="0" w:space="0" w:color="auto"/>
            <w:bottom w:val="none" w:sz="0" w:space="0" w:color="auto"/>
            <w:right w:val="none" w:sz="0" w:space="0" w:color="auto"/>
          </w:divBdr>
        </w:div>
        <w:div w:id="2112121660">
          <w:marLeft w:val="0"/>
          <w:marRight w:val="0"/>
          <w:marTop w:val="0"/>
          <w:marBottom w:val="0"/>
          <w:divBdr>
            <w:top w:val="none" w:sz="0" w:space="0" w:color="auto"/>
            <w:left w:val="none" w:sz="0" w:space="0" w:color="auto"/>
            <w:bottom w:val="none" w:sz="0" w:space="0" w:color="auto"/>
            <w:right w:val="none" w:sz="0" w:space="0" w:color="auto"/>
          </w:divBdr>
        </w:div>
        <w:div w:id="149903444">
          <w:marLeft w:val="0"/>
          <w:marRight w:val="0"/>
          <w:marTop w:val="0"/>
          <w:marBottom w:val="0"/>
          <w:divBdr>
            <w:top w:val="none" w:sz="0" w:space="0" w:color="auto"/>
            <w:left w:val="none" w:sz="0" w:space="0" w:color="auto"/>
            <w:bottom w:val="none" w:sz="0" w:space="0" w:color="auto"/>
            <w:right w:val="none" w:sz="0" w:space="0" w:color="auto"/>
          </w:divBdr>
        </w:div>
        <w:div w:id="960695087">
          <w:marLeft w:val="0"/>
          <w:marRight w:val="0"/>
          <w:marTop w:val="0"/>
          <w:marBottom w:val="0"/>
          <w:divBdr>
            <w:top w:val="none" w:sz="0" w:space="0" w:color="auto"/>
            <w:left w:val="none" w:sz="0" w:space="0" w:color="auto"/>
            <w:bottom w:val="none" w:sz="0" w:space="0" w:color="auto"/>
            <w:right w:val="none" w:sz="0" w:space="0" w:color="auto"/>
          </w:divBdr>
        </w:div>
        <w:div w:id="618610470">
          <w:marLeft w:val="0"/>
          <w:marRight w:val="0"/>
          <w:marTop w:val="0"/>
          <w:marBottom w:val="0"/>
          <w:divBdr>
            <w:top w:val="none" w:sz="0" w:space="0" w:color="auto"/>
            <w:left w:val="none" w:sz="0" w:space="0" w:color="auto"/>
            <w:bottom w:val="none" w:sz="0" w:space="0" w:color="auto"/>
            <w:right w:val="none" w:sz="0" w:space="0" w:color="auto"/>
          </w:divBdr>
        </w:div>
        <w:div w:id="48693864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afshari-saleh@ulster.ac.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aleghani-nikazm.1@osu.ed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mbetz@uwaterloo.c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gubina@ids-mannheim.d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721</Words>
  <Characters>4637</Characters>
  <Application>Microsoft Office Word</Application>
  <DocSecurity>0</DocSecurity>
  <Lines>89</Lines>
  <Paragraphs>37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Microsoft User1</cp:lastModifiedBy>
  <cp:revision>2</cp:revision>
  <cp:lastPrinted>2023-03-11T11:57:00Z</cp:lastPrinted>
  <dcterms:created xsi:type="dcterms:W3CDTF">2023-05-26T17:07:00Z</dcterms:created>
  <dcterms:modified xsi:type="dcterms:W3CDTF">2023-05-26T17:07:00Z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