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20691" w14:textId="270E12C6" w:rsidR="00AB181E" w:rsidRDefault="00072582">
      <w:pPr>
        <w:pStyle w:val="Author"/>
      </w:pPr>
      <w:r>
        <w:t xml:space="preserve">Stefania </w:t>
      </w:r>
      <w:proofErr w:type="spellStart"/>
      <w:r>
        <w:t>Biscetti</w:t>
      </w:r>
      <w:proofErr w:type="spellEnd"/>
    </w:p>
    <w:p w14:paraId="2A82C211" w14:textId="34FAA789" w:rsidR="00AB181E" w:rsidRDefault="00072582">
      <w:pPr>
        <w:pStyle w:val="Titolo"/>
      </w:pPr>
      <w:r>
        <w:t xml:space="preserve">English and Italian bipartite garment nouns used as singulars in the language of </w:t>
      </w:r>
      <w:proofErr w:type="gramStart"/>
      <w:r>
        <w:t>fashion</w:t>
      </w:r>
      <w:proofErr w:type="gramEnd"/>
    </w:p>
    <w:p w14:paraId="755BD466" w14:textId="0533C979" w:rsidR="00AB181E" w:rsidRDefault="00AB181E" w:rsidP="00072582">
      <w:pPr>
        <w:pStyle w:val="Sottotitolo"/>
        <w:jc w:val="both"/>
      </w:pPr>
    </w:p>
    <w:p w14:paraId="5EF03F2B" w14:textId="6C1C72C2" w:rsidR="00AB181E" w:rsidRDefault="00224AA6">
      <w:pPr>
        <w:pStyle w:val="Keywords"/>
        <w:jc w:val="left"/>
      </w:pPr>
      <w:r>
        <w:rPr>
          <w:b/>
          <w:szCs w:val="20"/>
        </w:rPr>
        <w:t>Keywords:</w:t>
      </w:r>
      <w:r>
        <w:rPr>
          <w:szCs w:val="20"/>
        </w:rPr>
        <w:t xml:space="preserve"> </w:t>
      </w:r>
      <w:r w:rsidR="00072582">
        <w:rPr>
          <w:szCs w:val="20"/>
        </w:rPr>
        <w:t>bipartite nouns; fashion language; grammatical number</w:t>
      </w:r>
    </w:p>
    <w:p w14:paraId="3AA1D66B" w14:textId="77777777" w:rsidR="008A531B" w:rsidRDefault="00072582" w:rsidP="008A531B">
      <w:r w:rsidRPr="00072582">
        <w:t xml:space="preserve">This paper is part of a project on the study of bipartite nouns used as singulars in the language of </w:t>
      </w:r>
      <w:proofErr w:type="gramStart"/>
      <w:r w:rsidRPr="00072582">
        <w:t>fashion, and</w:t>
      </w:r>
      <w:proofErr w:type="gramEnd"/>
      <w:r w:rsidRPr="00072582">
        <w:t xml:space="preserve"> aims to contrast the use of the most frequently occurring noun denoting a bipartite item of clothing (viz., E. </w:t>
      </w:r>
      <w:r w:rsidRPr="00072582">
        <w:rPr>
          <w:i/>
          <w:iCs/>
        </w:rPr>
        <w:t>trouser(s)</w:t>
      </w:r>
      <w:r w:rsidRPr="00072582">
        <w:t xml:space="preserve"> and It. </w:t>
      </w:r>
      <w:proofErr w:type="spellStart"/>
      <w:r>
        <w:rPr>
          <w:i/>
          <w:iCs/>
        </w:rPr>
        <w:t>pantalone</w:t>
      </w:r>
      <w:proofErr w:type="spellEnd"/>
      <w:r>
        <w:rPr>
          <w:i/>
          <w:iCs/>
        </w:rPr>
        <w:t>/</w:t>
      </w:r>
      <w:proofErr w:type="spellStart"/>
      <w:r>
        <w:rPr>
          <w:i/>
          <w:iCs/>
        </w:rPr>
        <w:t>i</w:t>
      </w:r>
      <w:proofErr w:type="spellEnd"/>
      <w:r w:rsidRPr="00072582">
        <w:t xml:space="preserve">) in the English and Italian editions of the Vogue fashion magazine. </w:t>
      </w:r>
    </w:p>
    <w:p w14:paraId="6B757613" w14:textId="3158E6FA" w:rsidR="00072582" w:rsidRDefault="00072582" w:rsidP="008A531B">
      <w:r w:rsidRPr="001612DC">
        <w:rPr>
          <w:lang w:val="en-US"/>
        </w:rPr>
        <w:t xml:space="preserve">Bipartite nouns (such as </w:t>
      </w:r>
      <w:r w:rsidRPr="001612DC">
        <w:rPr>
          <w:i/>
          <w:iCs/>
          <w:lang w:val="en-US"/>
        </w:rPr>
        <w:t>trousers</w:t>
      </w:r>
      <w:r w:rsidRPr="001612DC">
        <w:rPr>
          <w:lang w:val="en-US"/>
        </w:rPr>
        <w:t xml:space="preserve"> (It. </w:t>
      </w:r>
      <w:proofErr w:type="spellStart"/>
      <w:r w:rsidRPr="001612DC">
        <w:rPr>
          <w:i/>
          <w:iCs/>
          <w:lang w:val="en-US"/>
        </w:rPr>
        <w:t>pantaloni</w:t>
      </w:r>
      <w:proofErr w:type="spellEnd"/>
      <w:r w:rsidRPr="001612DC">
        <w:rPr>
          <w:lang w:val="en-US"/>
        </w:rPr>
        <w:t xml:space="preserve">), </w:t>
      </w:r>
      <w:r w:rsidRPr="001612DC">
        <w:rPr>
          <w:i/>
          <w:iCs/>
          <w:lang w:val="en-US"/>
        </w:rPr>
        <w:t>spectacles</w:t>
      </w:r>
      <w:r w:rsidRPr="001612DC">
        <w:rPr>
          <w:lang w:val="en-US"/>
        </w:rPr>
        <w:t xml:space="preserve"> (It. </w:t>
      </w:r>
      <w:proofErr w:type="spellStart"/>
      <w:r w:rsidRPr="001612DC">
        <w:rPr>
          <w:i/>
          <w:iCs/>
          <w:lang w:val="en-US"/>
        </w:rPr>
        <w:t>occhiali</w:t>
      </w:r>
      <w:proofErr w:type="spellEnd"/>
      <w:r w:rsidRPr="001612DC">
        <w:rPr>
          <w:lang w:val="en-US"/>
        </w:rPr>
        <w:t xml:space="preserve">), </w:t>
      </w:r>
      <w:r w:rsidRPr="00180D63">
        <w:rPr>
          <w:i/>
          <w:iCs/>
          <w:lang w:val="en-US"/>
        </w:rPr>
        <w:t>tights</w:t>
      </w:r>
      <w:r w:rsidRPr="001612DC">
        <w:rPr>
          <w:lang w:val="en-US"/>
        </w:rPr>
        <w:t xml:space="preserve"> (It. </w:t>
      </w:r>
      <w:proofErr w:type="spellStart"/>
      <w:r w:rsidRPr="00180D63">
        <w:rPr>
          <w:i/>
          <w:iCs/>
          <w:lang w:val="en-US"/>
        </w:rPr>
        <w:t>calze</w:t>
      </w:r>
      <w:proofErr w:type="spellEnd"/>
      <w:r w:rsidRPr="001612DC">
        <w:rPr>
          <w:lang w:val="en-US"/>
        </w:rPr>
        <w:t>)) denote objects or items of clothing consisting of two equal parts joined together (Quirk et al. 1985</w:t>
      </w:r>
      <w:r>
        <w:rPr>
          <w:lang w:val="en-US"/>
        </w:rPr>
        <w:t>,</w:t>
      </w:r>
      <w:r w:rsidRPr="001612DC">
        <w:rPr>
          <w:lang w:val="en-US"/>
        </w:rPr>
        <w:t xml:space="preserve"> § 5.76), and are a semantic subcategory of </w:t>
      </w:r>
      <w:proofErr w:type="spellStart"/>
      <w:r w:rsidRPr="001612DC">
        <w:rPr>
          <w:i/>
          <w:iCs/>
          <w:lang w:val="en-US"/>
        </w:rPr>
        <w:t>pluralia</w:t>
      </w:r>
      <w:proofErr w:type="spellEnd"/>
      <w:r w:rsidRPr="001612DC">
        <w:rPr>
          <w:i/>
          <w:iCs/>
          <w:lang w:val="en-US"/>
        </w:rPr>
        <w:t xml:space="preserve"> tantum</w:t>
      </w:r>
      <w:r w:rsidRPr="001612DC">
        <w:rPr>
          <w:lang w:val="en-US"/>
        </w:rPr>
        <w:t xml:space="preserve"> nouns, that is, nouns that are said to occur only in the plural, to be uncountable (</w:t>
      </w:r>
      <w:r w:rsidRPr="001612DC">
        <w:rPr>
          <w:color w:val="000000"/>
          <w:lang w:val="en-US"/>
        </w:rPr>
        <w:t>Payne</w:t>
      </w:r>
      <w:r>
        <w:rPr>
          <w:color w:val="000000"/>
          <w:lang w:val="en-US"/>
        </w:rPr>
        <w:t>/</w:t>
      </w:r>
      <w:r w:rsidRPr="001612DC">
        <w:rPr>
          <w:color w:val="000000"/>
          <w:lang w:val="en-US"/>
        </w:rPr>
        <w:t>Huddleston 2002</w:t>
      </w:r>
      <w:r>
        <w:rPr>
          <w:color w:val="000000"/>
          <w:lang w:val="en-US"/>
        </w:rPr>
        <w:t>, p.</w:t>
      </w:r>
      <w:r w:rsidRPr="001612DC">
        <w:rPr>
          <w:color w:val="000000"/>
          <w:lang w:val="en-US"/>
        </w:rPr>
        <w:t xml:space="preserve"> 342), and to be emblematic of the iconic relationship between grammatical (plural) form and (plural) meaning (</w:t>
      </w:r>
      <w:proofErr w:type="spellStart"/>
      <w:r w:rsidRPr="001612DC">
        <w:rPr>
          <w:color w:val="000000"/>
          <w:lang w:val="en-US"/>
        </w:rPr>
        <w:t>Wierzbicka</w:t>
      </w:r>
      <w:proofErr w:type="spellEnd"/>
      <w:r w:rsidRPr="001612DC">
        <w:rPr>
          <w:color w:val="000000"/>
          <w:lang w:val="en-US"/>
        </w:rPr>
        <w:t xml:space="preserve"> 1988</w:t>
      </w:r>
      <w:r>
        <w:rPr>
          <w:color w:val="000000"/>
          <w:lang w:val="en-US"/>
        </w:rPr>
        <w:t>, pp.</w:t>
      </w:r>
      <w:r w:rsidRPr="001612DC">
        <w:rPr>
          <w:color w:val="000000"/>
          <w:lang w:val="en-US"/>
        </w:rPr>
        <w:t xml:space="preserve"> 514–515; </w:t>
      </w:r>
      <w:proofErr w:type="spellStart"/>
      <w:r w:rsidRPr="001612DC">
        <w:rPr>
          <w:color w:val="000000"/>
          <w:lang w:val="en-US"/>
        </w:rPr>
        <w:t>Wisniewsky</w:t>
      </w:r>
      <w:proofErr w:type="spellEnd"/>
      <w:r w:rsidRPr="001612DC">
        <w:rPr>
          <w:color w:val="000000"/>
          <w:lang w:val="en-US"/>
        </w:rPr>
        <w:t xml:space="preserve"> 2010</w:t>
      </w:r>
      <w:r>
        <w:rPr>
          <w:color w:val="000000"/>
          <w:lang w:val="en-US"/>
        </w:rPr>
        <w:t>, pp.</w:t>
      </w:r>
      <w:r w:rsidRPr="001612DC">
        <w:rPr>
          <w:color w:val="000000"/>
          <w:lang w:val="en-US"/>
        </w:rPr>
        <w:t xml:space="preserve"> 181–182). It is also said of </w:t>
      </w:r>
      <w:proofErr w:type="spellStart"/>
      <w:r w:rsidRPr="001612DC">
        <w:rPr>
          <w:color w:val="000000"/>
          <w:lang w:val="en-US"/>
        </w:rPr>
        <w:t>bipartites</w:t>
      </w:r>
      <w:proofErr w:type="spellEnd"/>
      <w:r w:rsidRPr="001612DC">
        <w:rPr>
          <w:color w:val="000000"/>
          <w:lang w:val="en-US"/>
        </w:rPr>
        <w:t xml:space="preserve"> that they can be used as singulars only to refer to the type, model</w:t>
      </w:r>
      <w:r>
        <w:rPr>
          <w:color w:val="000000"/>
          <w:lang w:val="en-US"/>
        </w:rPr>
        <w:t>,</w:t>
      </w:r>
      <w:r w:rsidRPr="001612DC">
        <w:rPr>
          <w:color w:val="000000"/>
          <w:lang w:val="en-US"/>
        </w:rPr>
        <w:t xml:space="preserve"> or style of garments, not to individual items (</w:t>
      </w:r>
      <w:proofErr w:type="spellStart"/>
      <w:r w:rsidRPr="001612DC">
        <w:rPr>
          <w:color w:val="000000"/>
          <w:lang w:val="en-US"/>
        </w:rPr>
        <w:t>Wickens</w:t>
      </w:r>
      <w:proofErr w:type="spellEnd"/>
      <w:r w:rsidRPr="001612DC">
        <w:rPr>
          <w:color w:val="000000"/>
          <w:lang w:val="en-US"/>
        </w:rPr>
        <w:t xml:space="preserve"> 1992).</w:t>
      </w:r>
    </w:p>
    <w:p w14:paraId="077CC7F6" w14:textId="6AC26C12" w:rsidR="00072582" w:rsidRDefault="00072582" w:rsidP="00072582">
      <w:r>
        <w:t>In a recent paper (</w:t>
      </w:r>
      <w:proofErr w:type="spellStart"/>
      <w:r>
        <w:t>Biscetti</w:t>
      </w:r>
      <w:proofErr w:type="spellEnd"/>
      <w:r>
        <w:t xml:space="preserve"> 2022) I challenged these claims using data retrieved from 2,941 issues of The Vogue Archive (America) (i.e., spanning from the first 1892 issue to the December 2021 issue), and concluded that the lexical item </w:t>
      </w:r>
      <w:r w:rsidRPr="00072582">
        <w:rPr>
          <w:i/>
          <w:iCs/>
        </w:rPr>
        <w:t>trouser(s)</w:t>
      </w:r>
      <w:r>
        <w:t xml:space="preserve"> chosen to represent English bipartite garment nouns is at best “plural dominant”, not “plural only”; that the singular form (</w:t>
      </w:r>
      <w:r w:rsidRPr="00072582">
        <w:rPr>
          <w:i/>
          <w:iCs/>
        </w:rPr>
        <w:t>trouser</w:t>
      </w:r>
      <w:r>
        <w:t>) can be used not only to refer generically to model or type of garment, but also indexically to specific items; and that the use of the singular to denote one leg of a pair of trousers is not arbitrary but iconic of the way of conceptualizing the human body (i.e., as two symmetrical halves) in this specific domain of human activity.</w:t>
      </w:r>
    </w:p>
    <w:p w14:paraId="1581FCCF" w14:textId="5525289F" w:rsidR="00072582" w:rsidRDefault="00072582" w:rsidP="008A531B">
      <w:r>
        <w:t xml:space="preserve">Here I would like to examine the behaviour of the corresponding Italian lexical item </w:t>
      </w:r>
      <w:proofErr w:type="spellStart"/>
      <w:r>
        <w:rPr>
          <w:i/>
          <w:iCs/>
        </w:rPr>
        <w:t>pantaloni</w:t>
      </w:r>
      <w:proofErr w:type="spellEnd"/>
      <w:r>
        <w:t xml:space="preserve"> and put it to the same countability, reference and iconicity tests as </w:t>
      </w:r>
      <w:r w:rsidRPr="002721FE">
        <w:rPr>
          <w:i/>
          <w:iCs/>
        </w:rPr>
        <w:t>trousers</w:t>
      </w:r>
      <w:r>
        <w:t xml:space="preserve"> using evidence from </w:t>
      </w:r>
      <w:r w:rsidR="008A531B">
        <w:t>t</w:t>
      </w:r>
      <w:r>
        <w:t xml:space="preserve">he Vogue Italia Archive, which contains the entire run of the Vogue fashion magazine (Italian edition) from the first issue (October 1964) to present. The data collected show that </w:t>
      </w:r>
      <w:proofErr w:type="spellStart"/>
      <w:r w:rsidRPr="00072582">
        <w:rPr>
          <w:i/>
          <w:iCs/>
        </w:rPr>
        <w:t>pantaloni</w:t>
      </w:r>
      <w:proofErr w:type="spellEnd"/>
      <w:r w:rsidRPr="00072582">
        <w:rPr>
          <w:i/>
          <w:iCs/>
        </w:rPr>
        <w:t xml:space="preserve"> </w:t>
      </w:r>
      <w:r>
        <w:t xml:space="preserve">passed Allan’s (1980) “A + N Test” for countability, as it occurs with quantifiers which identify one or more discrete entities. Frequency of occurrence with some of these quantifiers suggests that It. </w:t>
      </w:r>
      <w:proofErr w:type="spellStart"/>
      <w:r w:rsidRPr="00072582">
        <w:rPr>
          <w:i/>
          <w:iCs/>
        </w:rPr>
        <w:t>pantaloni</w:t>
      </w:r>
      <w:proofErr w:type="spellEnd"/>
      <w:r>
        <w:t xml:space="preserve"> seems to have a higher degree of countability than E.</w:t>
      </w:r>
      <w:r w:rsidRPr="00072582">
        <w:rPr>
          <w:i/>
          <w:iCs/>
        </w:rPr>
        <w:t xml:space="preserve"> trousers</w:t>
      </w:r>
      <w:r>
        <w:t xml:space="preserve"> (which never occurs in combination with an indefinite article in the Vogue America database), and therefore its status as “plural only” is even more questionable. In terms of reference, the Italian singular form </w:t>
      </w:r>
      <w:proofErr w:type="spellStart"/>
      <w:r w:rsidRPr="00072582">
        <w:rPr>
          <w:i/>
          <w:iCs/>
        </w:rPr>
        <w:t>pantalone</w:t>
      </w:r>
      <w:proofErr w:type="spellEnd"/>
      <w:r>
        <w:t xml:space="preserve"> was found to be used with both a generic and a specific reference just like E. </w:t>
      </w:r>
      <w:r w:rsidRPr="00072582">
        <w:rPr>
          <w:i/>
          <w:iCs/>
        </w:rPr>
        <w:t>trouser</w:t>
      </w:r>
      <w:r>
        <w:t xml:space="preserve">, although specific reference is somewhat more frequent for It. </w:t>
      </w:r>
      <w:proofErr w:type="spellStart"/>
      <w:r w:rsidRPr="00072582">
        <w:rPr>
          <w:i/>
          <w:iCs/>
        </w:rPr>
        <w:t>pantalone</w:t>
      </w:r>
      <w:proofErr w:type="spellEnd"/>
      <w:r>
        <w:t xml:space="preserve"> than it is for E. </w:t>
      </w:r>
      <w:r w:rsidRPr="00072582">
        <w:rPr>
          <w:i/>
          <w:iCs/>
        </w:rPr>
        <w:t>trouser</w:t>
      </w:r>
      <w:r>
        <w:t xml:space="preserve">. Finally, like its English correspondent, the singular It. </w:t>
      </w:r>
      <w:proofErr w:type="spellStart"/>
      <w:r w:rsidRPr="00072582">
        <w:rPr>
          <w:i/>
          <w:iCs/>
        </w:rPr>
        <w:t>pantalone</w:t>
      </w:r>
      <w:proofErr w:type="spellEnd"/>
      <w:r>
        <w:t xml:space="preserve"> is also used to refer to one leg of the garment but differs from </w:t>
      </w:r>
      <w:r w:rsidRPr="00072582">
        <w:rPr>
          <w:i/>
          <w:iCs/>
        </w:rPr>
        <w:t>trouser</w:t>
      </w:r>
      <w:r>
        <w:t xml:space="preserve"> in frequency and recency of usage. </w:t>
      </w:r>
    </w:p>
    <w:p w14:paraId="30E40F72" w14:textId="2E8C1010" w:rsidR="00072582" w:rsidRPr="00072582" w:rsidRDefault="00072582" w:rsidP="008A531B">
      <w:pPr>
        <w:rPr>
          <w:lang w:val="en-US"/>
        </w:rPr>
      </w:pPr>
      <w:r>
        <w:lastRenderedPageBreak/>
        <w:t>Th</w:t>
      </w:r>
      <w:r w:rsidR="008A531B">
        <w:t>ese results</w:t>
      </w:r>
      <w:r>
        <w:t xml:space="preserve"> suggest that </w:t>
      </w:r>
      <w:r w:rsidR="008A531B">
        <w:t xml:space="preserve">the two </w:t>
      </w:r>
      <w:r>
        <w:t>bipartite nouns enjoy the same status as “plural dominant” rather than “plural only” in both languages, while the differences in terms of countability need to be further investigated on a variety of discourse types to determine whether they are ascribable to cognitive, typological, and possibly normative differences concerning fashion language in formal contexts (print magazines).</w:t>
      </w:r>
    </w:p>
    <w:p w14:paraId="4DA4C6B9" w14:textId="77777777" w:rsidR="00AB181E" w:rsidRDefault="00224AA6">
      <w:pPr>
        <w:pStyle w:val="Indicefonti"/>
      </w:pPr>
      <w:r>
        <w:t>References</w:t>
      </w:r>
    </w:p>
    <w:p w14:paraId="0FC5B096" w14:textId="77777777" w:rsidR="008A531B" w:rsidRDefault="008A531B" w:rsidP="008A531B">
      <w:pPr>
        <w:pStyle w:val="Literaturverzeichnis1"/>
        <w:ind w:left="397" w:hanging="397"/>
      </w:pPr>
      <w:r w:rsidRPr="008A531B">
        <w:t>Allan, Keith (1980): Nouns and countability. Language, 56(3), pp. 541– 567.</w:t>
      </w:r>
    </w:p>
    <w:p w14:paraId="2D139DE5" w14:textId="0C180006" w:rsidR="008A531B" w:rsidRDefault="008A531B" w:rsidP="008A531B">
      <w:pPr>
        <w:pStyle w:val="Literaturverzeichnis1"/>
        <w:ind w:left="397" w:hanging="397"/>
      </w:pPr>
      <w:proofErr w:type="spellStart"/>
      <w:r>
        <w:t>Biscetti</w:t>
      </w:r>
      <w:proofErr w:type="spellEnd"/>
      <w:r>
        <w:t xml:space="preserve">, Stefania (2022): “It’s never ‘just a trouser!’”: Bipartite garment nouns as singulars in the language of fashion. In: </w:t>
      </w:r>
      <w:proofErr w:type="spellStart"/>
      <w:r>
        <w:t>Baicchi</w:t>
      </w:r>
      <w:proofErr w:type="spellEnd"/>
      <w:r>
        <w:t>, Annalisa/</w:t>
      </w:r>
      <w:proofErr w:type="spellStart"/>
      <w:r>
        <w:t>Biscetti</w:t>
      </w:r>
      <w:proofErr w:type="spellEnd"/>
      <w:r>
        <w:t>, Stefania (eds.): The Language of Fashion: Linguistic, Cognitive, and Cultural Insights. Bern: Peter Lang, pp. 125-142.</w:t>
      </w:r>
    </w:p>
    <w:p w14:paraId="7A07F4EF" w14:textId="5D108688" w:rsidR="008A531B" w:rsidRDefault="008A531B" w:rsidP="008A531B">
      <w:pPr>
        <w:pStyle w:val="Literaturverzeichnis1"/>
        <w:ind w:left="397" w:hanging="397"/>
      </w:pPr>
      <w:r w:rsidRPr="008A531B">
        <w:t xml:space="preserve">Payne, John/Huddleston, Rodney (2002): Nouns and noun phrases. In: Huddleston, Rodney/Pullum, Geoffrey Keith (eds.): The </w:t>
      </w:r>
      <w:proofErr w:type="spellStart"/>
      <w:r w:rsidRPr="008A531B">
        <w:t>Cam¬bridge</w:t>
      </w:r>
      <w:proofErr w:type="spellEnd"/>
      <w:r w:rsidRPr="008A531B">
        <w:t xml:space="preserve"> Grammar of the English Language. Cambridge: Cambridge University Press, pp. 323-523.</w:t>
      </w:r>
    </w:p>
    <w:p w14:paraId="5DBCE20A" w14:textId="0B1A2014" w:rsidR="008A531B" w:rsidRDefault="008A531B" w:rsidP="008A531B">
      <w:pPr>
        <w:pStyle w:val="Literaturverzeichnis1"/>
        <w:ind w:left="397" w:hanging="397"/>
      </w:pPr>
      <w:r>
        <w:t>Quirk, Randolph/ Greenbaum, Sidney/Leech, Geoffrey/</w:t>
      </w:r>
      <w:proofErr w:type="spellStart"/>
      <w:r>
        <w:t>Svartvik</w:t>
      </w:r>
      <w:proofErr w:type="spellEnd"/>
      <w:r>
        <w:t xml:space="preserve">, Jan (1985): A Comprehensive Grammar of the English Language. London: Longman. </w:t>
      </w:r>
    </w:p>
    <w:p w14:paraId="323889BA" w14:textId="77777777" w:rsidR="008A531B" w:rsidRDefault="008A531B" w:rsidP="008A531B">
      <w:pPr>
        <w:pStyle w:val="Literaturverzeichnis1"/>
        <w:ind w:left="397" w:hanging="397"/>
      </w:pPr>
      <w:proofErr w:type="spellStart"/>
      <w:r>
        <w:t>Wickens</w:t>
      </w:r>
      <w:proofErr w:type="spellEnd"/>
      <w:r>
        <w:t xml:space="preserve">, Mark (1992): Grammatical Number in English Nouns: An Empirical and Theoretical Account. Amsterdam: </w:t>
      </w:r>
      <w:proofErr w:type="spellStart"/>
      <w:r>
        <w:t>Benjamins</w:t>
      </w:r>
      <w:proofErr w:type="spellEnd"/>
      <w:r>
        <w:t xml:space="preserve">. </w:t>
      </w:r>
    </w:p>
    <w:p w14:paraId="3E087438" w14:textId="044D573E" w:rsidR="008A531B" w:rsidRDefault="008A531B" w:rsidP="008A531B">
      <w:pPr>
        <w:pStyle w:val="Literaturverzeichnis1"/>
        <w:ind w:left="397" w:hanging="397"/>
      </w:pPr>
      <w:proofErr w:type="spellStart"/>
      <w:r>
        <w:t>Wierzbicka</w:t>
      </w:r>
      <w:proofErr w:type="spellEnd"/>
      <w:r>
        <w:t xml:space="preserve">, Anna (1988): The Semantics of Grammar. Amsterdam: </w:t>
      </w:r>
      <w:proofErr w:type="spellStart"/>
      <w:r>
        <w:t>Benjamins</w:t>
      </w:r>
      <w:proofErr w:type="spellEnd"/>
      <w:r>
        <w:t xml:space="preserve">. </w:t>
      </w:r>
    </w:p>
    <w:p w14:paraId="5E05EC2A" w14:textId="26188CF0" w:rsidR="008A531B" w:rsidRPr="002721FE" w:rsidRDefault="008A531B" w:rsidP="008A531B">
      <w:pPr>
        <w:pStyle w:val="Literaturverzeichnis1"/>
        <w:ind w:left="397" w:hanging="397"/>
        <w:rPr>
          <w:lang w:val="it-IT"/>
        </w:rPr>
      </w:pPr>
      <w:r>
        <w:t xml:space="preserve">Wisniewski, Edward J. (2010): On using count nouns, mass nouns, and </w:t>
      </w:r>
      <w:proofErr w:type="spellStart"/>
      <w:r>
        <w:t>pluralia</w:t>
      </w:r>
      <w:proofErr w:type="spellEnd"/>
      <w:r>
        <w:t xml:space="preserve"> tantum: What counts? In: Pelletier, Francis Jeffry (ed.): Kinds, Things, and Stuff: Mass Terms and Generics. </w:t>
      </w:r>
      <w:r w:rsidRPr="002721FE">
        <w:rPr>
          <w:lang w:val="it-IT"/>
        </w:rPr>
        <w:t>Oxford: Oxford University Press, pp. 166-190.</w:t>
      </w:r>
    </w:p>
    <w:p w14:paraId="13675414" w14:textId="77777777" w:rsidR="008A531B" w:rsidRPr="002721FE" w:rsidRDefault="008A531B" w:rsidP="008A531B">
      <w:pPr>
        <w:pStyle w:val="Literaturverzeichnis1"/>
        <w:rPr>
          <w:lang w:val="it-IT"/>
        </w:rPr>
      </w:pPr>
    </w:p>
    <w:p w14:paraId="1A8EF9DB" w14:textId="77777777" w:rsidR="00AB181E" w:rsidRPr="008A531B" w:rsidRDefault="00224AA6">
      <w:pPr>
        <w:pStyle w:val="Titolo1"/>
        <w:rPr>
          <w:lang w:val="it-IT"/>
        </w:rPr>
      </w:pPr>
      <w:r w:rsidRPr="008A531B">
        <w:rPr>
          <w:lang w:val="it-IT"/>
        </w:rPr>
        <w:t>Contact information</w:t>
      </w:r>
    </w:p>
    <w:p w14:paraId="6C74710B" w14:textId="15682D08" w:rsidR="00AB181E" w:rsidRPr="008A531B" w:rsidRDefault="008A531B">
      <w:pPr>
        <w:rPr>
          <w:lang w:val="it-IT"/>
        </w:rPr>
      </w:pPr>
      <w:r w:rsidRPr="008A531B">
        <w:rPr>
          <w:rStyle w:val="Enfasigrassetto"/>
          <w:lang w:val="it-IT"/>
        </w:rPr>
        <w:t>Stefania Biscetti</w:t>
      </w:r>
    </w:p>
    <w:p w14:paraId="4A219108" w14:textId="66C6ACCE" w:rsidR="00AB181E" w:rsidRPr="008A531B" w:rsidRDefault="008A531B">
      <w:pPr>
        <w:rPr>
          <w:lang w:val="it-IT"/>
        </w:rPr>
      </w:pPr>
      <w:r w:rsidRPr="008A531B">
        <w:rPr>
          <w:lang w:val="it-IT"/>
        </w:rPr>
        <w:t>Dipartimento di Scienze Uman</w:t>
      </w:r>
      <w:r>
        <w:rPr>
          <w:lang w:val="it-IT"/>
        </w:rPr>
        <w:t>e - Università degli Studi di L’Aquila</w:t>
      </w:r>
    </w:p>
    <w:p w14:paraId="4568B049" w14:textId="70554C76" w:rsidR="008A531B" w:rsidRPr="008A531B" w:rsidRDefault="00000000" w:rsidP="008A531B">
      <w:pPr>
        <w:rPr>
          <w:lang w:val="it-IT"/>
        </w:rPr>
      </w:pPr>
      <w:hyperlink r:id="rId7" w:history="1">
        <w:r w:rsidR="008A531B" w:rsidRPr="00320E43">
          <w:rPr>
            <w:rStyle w:val="Collegamentoipertestuale"/>
            <w:lang w:val="it-IT"/>
          </w:rPr>
          <w:t>stefania.biscetti@univaq.it</w:t>
        </w:r>
      </w:hyperlink>
    </w:p>
    <w:sectPr w:rsidR="008A531B" w:rsidRPr="008A531B">
      <w:headerReference w:type="default" r:id="rId8"/>
      <w:footerReference w:type="default" r:id="rId9"/>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9193C" w14:textId="77777777" w:rsidR="00CC5F33" w:rsidRDefault="00CC5F33">
      <w:pPr>
        <w:spacing w:before="0" w:line="240" w:lineRule="auto"/>
      </w:pPr>
      <w:r>
        <w:separator/>
      </w:r>
    </w:p>
  </w:endnote>
  <w:endnote w:type="continuationSeparator" w:id="0">
    <w:p w14:paraId="5697EA55" w14:textId="77777777" w:rsidR="00CC5F33" w:rsidRDefault="00CC5F3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15FA9CD9-0156-064A-92F7-4D289446C045}"/>
    <w:embedBold r:id="rId2" w:fontKey="{96401257-51FB-374B-B8FE-1954A249B922}"/>
    <w:embedItalic r:id="rId3" w:fontKey="{042F2D73-6935-0140-B89D-12740182373E}"/>
  </w:font>
  <w:font w:name="Tahoma">
    <w:panose1 w:val="020B0604030504040204"/>
    <w:charset w:val="00"/>
    <w:family w:val="swiss"/>
    <w:pitch w:val="variable"/>
    <w:sig w:usb0="E1002EFF" w:usb1="C000605B" w:usb2="00000029" w:usb3="00000000" w:csb0="000101FF" w:csb1="00000000"/>
    <w:embedRegular r:id="rId4" w:fontKey="{B0F8B321-B16F-BC47-9809-AAE4CBCA3F6C}"/>
    <w:embedBold r:id="rId5" w:fontKey="{9A6F44C6-03B7-B644-9C2C-EFCE04CEE14E}"/>
    <w:embedItalic r:id="rId6" w:fontKey="{4DD60783-CB3C-B143-B51A-40F94487C259}"/>
  </w:font>
  <w:font w:name="Libertinus Serif">
    <w:altName w:val="Calibri"/>
    <w:panose1 w:val="020B0604020202020204"/>
    <w:charset w:val="00"/>
    <w:family w:val="modern"/>
    <w:notTrueType/>
    <w:pitch w:val="variable"/>
    <w:sig w:usb0="E0000AFF" w:usb1="0200E5FB" w:usb2="01000020" w:usb3="00000000" w:csb0="000001BF" w:csb1="00000000"/>
  </w:font>
  <w:font w:name="Fira Sans">
    <w:panose1 w:val="020B0503050000020004"/>
    <w:charset w:val="00"/>
    <w:family w:val="swiss"/>
    <w:pitch w:val="variable"/>
    <w:sig w:usb0="600002FF" w:usb1="00000001" w:usb2="00000000" w:usb3="00000000" w:csb0="0000019F" w:csb1="00000000"/>
    <w:embedRegular r:id="rId11" w:fontKey="{8A7919E0-3E99-9D46-8D9B-3E5AA4CD7479}"/>
    <w:embedBold r:id="rId12" w:fontKey="{4796820D-9181-1141-A440-E8C0AF80FC43}"/>
  </w:font>
  <w:font w:name="Times New Roman">
    <w:panose1 w:val="02020603050405020304"/>
    <w:charset w:val="00"/>
    <w:family w:val="roman"/>
    <w:pitch w:val="variable"/>
    <w:sig w:usb0="E0002EFF" w:usb1="C000785B" w:usb2="00000009" w:usb3="00000000" w:csb0="000001FF" w:csb1="00000000"/>
    <w:embedRegular r:id="rId13" w:fontKey="{0B02AD69-BE05-8045-9578-125F1AE9C246}"/>
    <w:embedBold r:id="rId14" w:fontKey="{445CD29F-7DB0-2F48-ABC3-E8C0CAC050BE}"/>
    <w:embedItalic r:id="rId15" w:fontKey="{F6B7EB98-E854-A54A-BB4B-247B86D81E66}"/>
    <w:embedBoldItalic r:id="rId16" w:fontKey="{BB6A887E-5897-F64D-9149-AFFADC906A01}"/>
  </w:font>
  <w:font w:name="OpenSymbol">
    <w:altName w:val="Arial Unicode MS"/>
    <w:panose1 w:val="020B0604020202020204"/>
    <w:charset w:val="00"/>
    <w:family w:val="auto"/>
    <w:pitch w:val="variable"/>
    <w:sig w:usb0="800000AF" w:usb1="1001ECEA" w:usb2="00000000" w:usb3="00000000" w:csb0="80000001" w:csb1="00000000"/>
    <w:embedRegular r:id="rId17" w:fontKey="{43C4B364-5D98-5E44-8F50-3B047EDDEF0B}"/>
  </w:font>
  <w:font w:name="Liberation Sans">
    <w:altName w:val="Arial"/>
    <w:panose1 w:val="020B0604020202020204"/>
    <w:charset w:val="00"/>
    <w:family w:val="swiss"/>
    <w:pitch w:val="variable"/>
    <w:sig w:usb0="E0000AFF" w:usb1="500078FF" w:usb2="00000021" w:usb3="00000000" w:csb0="000001BF" w:csb1="00000000"/>
    <w:embedBold r:id="rId18" w:fontKey="{83551B54-8954-FC41-88D6-F032EFDA860E}"/>
  </w:font>
  <w:font w:name="Noto Sans CJK SC">
    <w:panose1 w:val="020B0604020202020204"/>
    <w:charset w:val="00"/>
    <w:family w:val="roman"/>
    <w:notTrueType/>
    <w:pitch w:val="default"/>
  </w:font>
  <w:font w:name="Droid Sans Devanagari">
    <w:altName w:val="Times New Roman"/>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23" w:fontKey="{094B1093-2F71-CC4C-8FD4-FA18B76B6D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9CBAB" w14:textId="77777777" w:rsidR="00AB181E" w:rsidRDefault="00224AA6" w:rsidP="00694682">
    <w:pPr>
      <w:pStyle w:val="Pidipagina"/>
      <w:jc w:val="right"/>
    </w:pPr>
    <w:r>
      <w:rPr>
        <w:rStyle w:val="Numeropagina"/>
        <w:rFonts w:cs="Libertinus Serif"/>
      </w:rPr>
      <w:fldChar w:fldCharType="begin"/>
    </w:r>
    <w:r>
      <w:rPr>
        <w:rStyle w:val="Numeropagina"/>
        <w:rFonts w:cs="Libertinus Serif"/>
      </w:rPr>
      <w:instrText xml:space="preserve"> PAGE </w:instrText>
    </w:r>
    <w:r>
      <w:rPr>
        <w:rStyle w:val="Numeropagina"/>
        <w:rFonts w:cs="Libertinus Serif"/>
      </w:rPr>
      <w:fldChar w:fldCharType="separate"/>
    </w:r>
    <w:r w:rsidR="004C5262">
      <w:rPr>
        <w:rStyle w:val="Numeropagina"/>
        <w:rFonts w:cs="Libertinus Serif"/>
        <w:noProof/>
      </w:rPr>
      <w:t>3</w:t>
    </w:r>
    <w:r>
      <w:rPr>
        <w:rStyle w:val="Numeropagina"/>
        <w:rFonts w:cs="Libertinus Serif"/>
      </w:rPr>
      <w:fldChar w:fldCharType="end"/>
    </w:r>
  </w:p>
  <w:p w14:paraId="4B57204F" w14:textId="77777777" w:rsidR="00AB181E" w:rsidRDefault="00AB181E">
    <w:pPr>
      <w:pStyle w:val="Pidipagina"/>
    </w:pPr>
  </w:p>
  <w:p w14:paraId="687F5196"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F31C3" w14:textId="77777777" w:rsidR="00CC5F33" w:rsidRDefault="00CC5F33">
      <w:pPr>
        <w:rPr>
          <w:sz w:val="12"/>
        </w:rPr>
      </w:pPr>
      <w:r>
        <w:separator/>
      </w:r>
    </w:p>
  </w:footnote>
  <w:footnote w:type="continuationSeparator" w:id="0">
    <w:p w14:paraId="41CCFBBA" w14:textId="77777777" w:rsidR="00CC5F33" w:rsidRDefault="00CC5F33">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C555D" w14:textId="77777777" w:rsidR="00AB181E" w:rsidRDefault="00224AA6">
    <w:pPr>
      <w:pStyle w:val="Intestazione"/>
    </w:pPr>
    <w:r>
      <w:t>ICLC-10 2023 - Document Template for Revised Abstract</w:t>
    </w:r>
    <w:r>
      <w:rPr>
        <w:lang w:val="en-US"/>
      </w:rPr>
      <w:t>s</w:t>
    </w:r>
  </w:p>
  <w:p w14:paraId="2DB37251"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757825352">
    <w:abstractNumId w:val="0"/>
  </w:num>
  <w:num w:numId="2" w16cid:durableId="1919943051">
    <w:abstractNumId w:val="1"/>
  </w:num>
  <w:num w:numId="3" w16cid:durableId="4833580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72582"/>
    <w:rsid w:val="000F11EC"/>
    <w:rsid w:val="00224AA6"/>
    <w:rsid w:val="002251EA"/>
    <w:rsid w:val="00227F60"/>
    <w:rsid w:val="002721FE"/>
    <w:rsid w:val="003A649A"/>
    <w:rsid w:val="004C5262"/>
    <w:rsid w:val="00694682"/>
    <w:rsid w:val="00717483"/>
    <w:rsid w:val="008A531B"/>
    <w:rsid w:val="009D4AD9"/>
    <w:rsid w:val="00A54BA3"/>
    <w:rsid w:val="00A905BA"/>
    <w:rsid w:val="00AB181E"/>
    <w:rsid w:val="00B22F8E"/>
    <w:rsid w:val="00C425D1"/>
    <w:rsid w:val="00CC5F33"/>
    <w:rsid w:val="00D95537"/>
    <w:rsid w:val="00DB1137"/>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2D816"/>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val="0"/>
      <w:spacing w:before="113" w:line="280" w:lineRule="exact"/>
      <w:jc w:val="both"/>
    </w:pPr>
    <w:rPr>
      <w:rFonts w:ascii="Libertinus Serif" w:hAnsi="Libertinus Serif"/>
    </w:rPr>
  </w:style>
  <w:style w:type="paragraph" w:styleId="Titolo1">
    <w:name w:val="heading 1"/>
    <w:basedOn w:val="Normale"/>
    <w:next w:val="Normale"/>
    <w:link w:val="Titolo1Carattere"/>
    <w:qFormat/>
    <w:pPr>
      <w:keepNext/>
      <w:keepLines/>
      <w:spacing w:before="340" w:after="113" w:line="360" w:lineRule="exact"/>
      <w:outlineLvl w:val="0"/>
    </w:pPr>
    <w:rPr>
      <w:rFonts w:ascii="Fira Sans" w:hAnsi="Fira Sans"/>
      <w:b/>
      <w:color w:val="4FAF4A"/>
      <w:sz w:val="28"/>
      <w:szCs w:val="32"/>
    </w:rPr>
  </w:style>
  <w:style w:type="paragraph" w:styleId="Titolo2">
    <w:name w:val="heading 2"/>
    <w:basedOn w:val="Normale"/>
    <w:next w:val="Normale"/>
    <w:link w:val="Titolo2Carattere"/>
    <w:qFormat/>
    <w:pPr>
      <w:keepNext/>
      <w:keepLines/>
      <w:spacing w:before="340" w:after="113" w:line="340" w:lineRule="exact"/>
      <w:outlineLvl w:val="1"/>
    </w:pPr>
    <w:rPr>
      <w:rFonts w:ascii="Fira Sans" w:hAnsi="Fira Sans"/>
      <w:b/>
      <w:color w:val="4FAF4A"/>
      <w:sz w:val="26"/>
      <w:szCs w:val="26"/>
    </w:rPr>
  </w:style>
  <w:style w:type="paragraph" w:styleId="Titolo3">
    <w:name w:val="heading 3"/>
    <w:basedOn w:val="Normale"/>
    <w:next w:val="Normale"/>
    <w:link w:val="Titolo3Carattere"/>
    <w:qFormat/>
    <w:pPr>
      <w:keepNext/>
      <w:keepLines/>
      <w:spacing w:before="227" w:after="113" w:line="320" w:lineRule="exact"/>
      <w:outlineLvl w:val="2"/>
    </w:pPr>
    <w:rPr>
      <w:rFonts w:ascii="Fira Sans" w:hAnsi="Fira Sans"/>
      <w:color w:val="4FAF4A"/>
      <w:sz w:val="24"/>
      <w:szCs w:val="24"/>
    </w:rPr>
  </w:style>
  <w:style w:type="paragraph" w:styleId="Titolo4">
    <w:name w:val="heading 4"/>
    <w:basedOn w:val="Normale"/>
    <w:next w:val="Normale"/>
    <w:link w:val="Titolo4Carattere"/>
    <w:qFormat/>
    <w:pPr>
      <w:keepNext/>
      <w:keepLines/>
      <w:spacing w:before="227"/>
      <w:outlineLvl w:val="3"/>
    </w:pPr>
    <w:rPr>
      <w:rFonts w:ascii="Fira Sans" w:hAnsi="Fira Sans"/>
      <w:iCs/>
      <w:color w:val="4FAF4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Pr>
      <w:rFonts w:ascii="Fira Sans" w:eastAsia="Calibri" w:hAnsi="Fira Sans" w:cs="Tahoma"/>
      <w:b/>
      <w:color w:val="F79646"/>
      <w:sz w:val="28"/>
      <w:szCs w:val="32"/>
    </w:rPr>
  </w:style>
  <w:style w:type="character" w:customStyle="1" w:styleId="Titolo2Carattere">
    <w:name w:val="Titolo 2 Carattere"/>
    <w:basedOn w:val="Carpredefinitoparagrafo"/>
    <w:link w:val="Titolo2"/>
    <w:qFormat/>
    <w:rPr>
      <w:rFonts w:ascii="Fira Sans" w:eastAsia="Calibri" w:hAnsi="Fira Sans" w:cs="Tahoma"/>
      <w:b/>
      <w:color w:val="F79646"/>
      <w:sz w:val="26"/>
      <w:szCs w:val="26"/>
    </w:rPr>
  </w:style>
  <w:style w:type="character" w:customStyle="1" w:styleId="Titolo3Carattere">
    <w:name w:val="Titolo 3 Carattere"/>
    <w:basedOn w:val="Carpredefinitoparagrafo"/>
    <w:link w:val="Titolo3"/>
    <w:qFormat/>
    <w:rPr>
      <w:rFonts w:ascii="Fira Sans" w:eastAsia="Calibri" w:hAnsi="Fira Sans" w:cs="Tahoma"/>
      <w:color w:val="F79646"/>
      <w:sz w:val="24"/>
      <w:szCs w:val="24"/>
    </w:rPr>
  </w:style>
  <w:style w:type="character" w:customStyle="1" w:styleId="Titolo4Carattere">
    <w:name w:val="Titolo 4 Carattere"/>
    <w:basedOn w:val="Carpredefinitoparagrafo"/>
    <w:link w:val="Titolo4"/>
    <w:qFormat/>
    <w:rPr>
      <w:rFonts w:ascii="Fira Sans" w:eastAsia="Calibri" w:hAnsi="Fira Sans" w:cs="Tahoma"/>
      <w:iCs/>
      <w:color w:val="F79646"/>
    </w:rPr>
  </w:style>
  <w:style w:type="character" w:customStyle="1" w:styleId="TitoloCarattere">
    <w:name w:val="Titolo Carattere"/>
    <w:basedOn w:val="Carpredefinitoparagrafo"/>
    <w:link w:val="Titolo"/>
    <w:qFormat/>
    <w:rsid w:val="00227F60"/>
    <w:rPr>
      <w:rFonts w:ascii="Fira Sans" w:hAnsi="Fira Sans"/>
      <w:b/>
      <w:color w:val="4FAF4A"/>
      <w:sz w:val="38"/>
      <w:szCs w:val="56"/>
    </w:rPr>
  </w:style>
  <w:style w:type="character" w:styleId="Enfasigrassetto">
    <w:name w:val="Strong"/>
    <w:basedOn w:val="Carpredefinitoparagrafo"/>
    <w:qFormat/>
    <w:rPr>
      <w:b/>
      <w:bCs/>
    </w:rPr>
  </w:style>
  <w:style w:type="character" w:styleId="Enfasicorsivo">
    <w:name w:val="Emphasis"/>
    <w:basedOn w:val="Carpredefinitoparagrafo"/>
    <w:qFormat/>
    <w:rPr>
      <w:i/>
      <w:iCs/>
    </w:rPr>
  </w:style>
  <w:style w:type="character" w:styleId="Enfasiintensa">
    <w:name w:val="Intense Emphasis"/>
    <w:basedOn w:val="Carpredefinitoparagrafo"/>
    <w:qFormat/>
    <w:rPr>
      <w:rFonts w:ascii="Libertinus Serif" w:hAnsi="Libertinus Serif"/>
      <w:b/>
      <w:bCs/>
      <w:i/>
      <w:iCs/>
      <w:color w:val="auto"/>
    </w:rPr>
  </w:style>
  <w:style w:type="character" w:customStyle="1" w:styleId="CitazioneCarattere">
    <w:name w:val="Citazione Carattere"/>
    <w:basedOn w:val="Carpredefinitoparagrafo"/>
    <w:link w:val="Citazione"/>
    <w:qFormat/>
    <w:rPr>
      <w:rFonts w:ascii="Libertinus Serif" w:hAnsi="Libertinus Serif"/>
      <w:iCs/>
      <w:sz w:val="20"/>
    </w:rPr>
  </w:style>
  <w:style w:type="character" w:customStyle="1" w:styleId="SottotitoloCarattere">
    <w:name w:val="Sottotitolo Carattere"/>
    <w:basedOn w:val="Carpredefinitoparagrafo"/>
    <w:link w:val="Sottotitolo"/>
    <w:qFormat/>
    <w:rsid w:val="004C5262"/>
    <w:rPr>
      <w:rFonts w:ascii="Fira Sans" w:hAnsi="Fira Sans"/>
      <w:b/>
      <w:color w:val="5A5A5A"/>
      <w:spacing w:val="16"/>
      <w:sz w:val="28"/>
    </w:rPr>
  </w:style>
  <w:style w:type="character" w:customStyle="1" w:styleId="IntestazioneCarattere">
    <w:name w:val="Intestazione Carattere"/>
    <w:basedOn w:val="Carpredefinitoparagrafo"/>
    <w:link w:val="Intestazione"/>
    <w:qFormat/>
    <w:rPr>
      <w:rFonts w:ascii="Times New Roman" w:hAnsi="Times New Roman"/>
      <w:sz w:val="24"/>
    </w:rPr>
  </w:style>
  <w:style w:type="character" w:customStyle="1" w:styleId="PidipaginaCarattere">
    <w:name w:val="Piè di pagina Carattere"/>
    <w:basedOn w:val="Carpredefinitoparagrafo"/>
    <w:link w:val="Pidipagina"/>
    <w:qFormat/>
    <w:rPr>
      <w:rFonts w:ascii="Times New Roman" w:hAnsi="Times New Roman"/>
      <w:sz w:val="24"/>
    </w:rPr>
  </w:style>
  <w:style w:type="character" w:customStyle="1" w:styleId="Funotenzeichen-Text">
    <w:name w:val="Fußnotenzeichen-Text"/>
    <w:qFormat/>
    <w:rPr>
      <w:vertAlign w:val="superscript"/>
    </w:rPr>
  </w:style>
  <w:style w:type="character" w:styleId="Collegamentoipertestuale">
    <w:name w:val="Hyperlink"/>
    <w:basedOn w:val="Carpredefinitoparagrafo"/>
    <w:rPr>
      <w:color w:val="000080"/>
      <w:w w:val="100"/>
      <w:u w:val="thick" w:color="000080"/>
    </w:rPr>
  </w:style>
  <w:style w:type="character" w:styleId="Numeropagina">
    <w:name w:val="page number"/>
    <w:basedOn w:val="Carpredefinitoparagrafo"/>
    <w:qFormat/>
  </w:style>
  <w:style w:type="character" w:customStyle="1" w:styleId="TestonotaapidipaginaCarattere">
    <w:name w:val="Testo nota a piè di pagina Carattere"/>
    <w:basedOn w:val="Carpredefinitoparagrafo"/>
    <w:link w:val="Testonotaapidipagina"/>
    <w:qFormat/>
    <w:rPr>
      <w:rFonts w:ascii="Times New Roman" w:hAnsi="Times New Roman"/>
      <w:sz w:val="20"/>
      <w:szCs w:val="20"/>
    </w:rPr>
  </w:style>
  <w:style w:type="character" w:customStyle="1" w:styleId="CitazioneintensaCarattere">
    <w:name w:val="Citazione intensa Carattere"/>
    <w:basedOn w:val="Carpredefinitoparagrafo"/>
    <w:link w:val="Citazioneintensa"/>
    <w:qFormat/>
    <w:rPr>
      <w:rFonts w:ascii="Libertinus Serif" w:hAnsi="Libertinus Serif"/>
      <w:bCs/>
      <w:sz w:val="20"/>
    </w:rPr>
  </w:style>
  <w:style w:type="character" w:customStyle="1" w:styleId="KapitlchenSmallCapital">
    <w:name w:val="Kapitälchen/Small Capital"/>
    <w:basedOn w:val="Carpredefinitoparagrafo"/>
    <w:qFormat/>
    <w:rPr>
      <w:smallCaps/>
    </w:rPr>
  </w:style>
  <w:style w:type="character" w:customStyle="1" w:styleId="Aufzhlungszeichen1">
    <w:name w:val="Aufzählungszeichen1"/>
    <w:qFormat/>
    <w:rPr>
      <w:rFonts w:ascii="OpenSymbol" w:eastAsia="OpenSymbol" w:hAnsi="OpenSymbol" w:cs="OpenSymbol"/>
    </w:rPr>
  </w:style>
  <w:style w:type="character" w:styleId="Rimandonotaapidipagina">
    <w:name w:val="footnote reference"/>
    <w:rPr>
      <w:vertAlign w:val="superscript"/>
    </w:rPr>
  </w:style>
  <w:style w:type="character" w:styleId="Rimandonotadichiusura">
    <w:name w:val="endnote reference"/>
    <w:rPr>
      <w:vertAlign w:val="superscript"/>
    </w:rPr>
  </w:style>
  <w:style w:type="character" w:customStyle="1" w:styleId="TestofumettoCarattere">
    <w:name w:val="Testo fumetto Carattere"/>
    <w:basedOn w:val="Carpredefinitoparagrafo"/>
    <w:link w:val="Testofumetto"/>
    <w:qFormat/>
    <w:rPr>
      <w:rFonts w:ascii="Tahoma" w:hAnsi="Tahoma" w:cs="Tahoma"/>
      <w:sz w:val="16"/>
      <w:szCs w:val="16"/>
    </w:rPr>
  </w:style>
  <w:style w:type="paragraph" w:customStyle="1" w:styleId="berschrift">
    <w:name w:val="Überschrift"/>
    <w:basedOn w:val="Titolo1"/>
    <w:next w:val="Corpotesto"/>
    <w:qFormat/>
    <w:pPr>
      <w:spacing w:before="240" w:after="120"/>
    </w:pPr>
    <w:rPr>
      <w:rFonts w:ascii="Liberation Sans" w:eastAsia="Noto Sans CJK SC" w:hAnsi="Liberation Sans" w:cs="Droid Sans Devanagari"/>
      <w:szCs w:val="28"/>
    </w:rPr>
  </w:style>
  <w:style w:type="paragraph" w:styleId="Corpotesto">
    <w:name w:val="Body Text"/>
    <w:basedOn w:val="Normale"/>
    <w:pPr>
      <w:spacing w:before="0" w:after="140" w:line="276" w:lineRule="auto"/>
    </w:pPr>
  </w:style>
  <w:style w:type="paragraph" w:styleId="Elenco">
    <w:name w:val="List"/>
    <w:basedOn w:val="Corpotesto"/>
    <w:rPr>
      <w:rFonts w:cs="Droid Sans Devanagari"/>
    </w:rPr>
  </w:style>
  <w:style w:type="paragraph" w:styleId="Didascalia">
    <w:name w:val="caption"/>
    <w:basedOn w:val="Normale"/>
    <w:qFormat/>
    <w:pPr>
      <w:suppressLineNumbers/>
      <w:spacing w:after="227" w:line="232" w:lineRule="exact"/>
    </w:pPr>
    <w:rPr>
      <w:rFonts w:cs="Droid Sans Devanagari"/>
      <w:iCs/>
      <w:sz w:val="19"/>
      <w:szCs w:val="24"/>
    </w:rPr>
  </w:style>
  <w:style w:type="paragraph" w:customStyle="1" w:styleId="Verzeichnis">
    <w:name w:val="Verzeichnis"/>
    <w:basedOn w:val="Normale"/>
    <w:qFormat/>
    <w:pPr>
      <w:suppressLineNumbers/>
    </w:pPr>
    <w:rPr>
      <w:rFonts w:cs="Droid Sans Devanagari"/>
    </w:rPr>
  </w:style>
  <w:style w:type="paragraph" w:styleId="Titolo">
    <w:name w:val="Title"/>
    <w:basedOn w:val="Normale"/>
    <w:next w:val="Normale"/>
    <w:link w:val="TitoloCarattere"/>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Citazione">
    <w:name w:val="Quote"/>
    <w:basedOn w:val="Normale"/>
    <w:next w:val="Normale"/>
    <w:link w:val="CitazioneCarattere"/>
    <w:qFormat/>
    <w:pPr>
      <w:spacing w:line="250" w:lineRule="exact"/>
      <w:ind w:left="794" w:right="794"/>
    </w:pPr>
    <w:rPr>
      <w:iCs/>
      <w:sz w:val="20"/>
    </w:rPr>
  </w:style>
  <w:style w:type="paragraph" w:styleId="Sottotitolo">
    <w:name w:val="Subtitle"/>
    <w:basedOn w:val="Normale"/>
    <w:next w:val="Normale"/>
    <w:link w:val="SottotitoloCarattere"/>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olo"/>
    <w:qFormat/>
    <w:pPr>
      <w:spacing w:before="0" w:line="340" w:lineRule="exact"/>
    </w:pPr>
    <w:rPr>
      <w:b w:val="0"/>
      <w:color w:val="auto"/>
      <w:sz w:val="26"/>
    </w:rPr>
  </w:style>
  <w:style w:type="paragraph" w:styleId="Paragrafoelenco">
    <w:name w:val="List Paragraph"/>
    <w:basedOn w:val="Normale"/>
    <w:qFormat/>
    <w:pPr>
      <w:tabs>
        <w:tab w:val="left" w:pos="0"/>
      </w:tabs>
      <w:ind w:left="284" w:hanging="284"/>
      <w:contextualSpacing/>
    </w:pPr>
  </w:style>
  <w:style w:type="paragraph" w:customStyle="1" w:styleId="Example">
    <w:name w:val="Example"/>
    <w:basedOn w:val="Normale"/>
    <w:qFormat/>
    <w:rsid w:val="00A54BA3"/>
    <w:pPr>
      <w:numPr>
        <w:numId w:val="3"/>
      </w:numPr>
      <w:spacing w:before="57" w:after="57" w:line="240" w:lineRule="exact"/>
      <w:ind w:left="454" w:hanging="454"/>
    </w:pPr>
    <w:rPr>
      <w:sz w:val="20"/>
    </w:rPr>
  </w:style>
  <w:style w:type="paragraph" w:customStyle="1" w:styleId="Kopf-undFuzeile">
    <w:name w:val="Kopf- und Fußzeile"/>
    <w:basedOn w:val="Normale"/>
    <w:qFormat/>
  </w:style>
  <w:style w:type="paragraph" w:styleId="Intestazione">
    <w:name w:val="header"/>
    <w:basedOn w:val="Normale"/>
    <w:link w:val="IntestazioneCarattere"/>
    <w:pPr>
      <w:tabs>
        <w:tab w:val="center" w:pos="4536"/>
        <w:tab w:val="right" w:pos="9072"/>
      </w:tabs>
      <w:spacing w:before="0" w:line="240" w:lineRule="auto"/>
    </w:pPr>
  </w:style>
  <w:style w:type="paragraph" w:styleId="Pidipagina">
    <w:name w:val="footer"/>
    <w:basedOn w:val="Normale"/>
    <w:link w:val="PidipaginaCarattere"/>
    <w:pPr>
      <w:tabs>
        <w:tab w:val="center" w:pos="4536"/>
        <w:tab w:val="right" w:pos="9072"/>
      </w:tabs>
      <w:spacing w:before="0" w:line="240" w:lineRule="auto"/>
    </w:pPr>
  </w:style>
  <w:style w:type="paragraph" w:customStyle="1" w:styleId="FunoteFootnote">
    <w:name w:val="Fußnote/Footnote"/>
    <w:basedOn w:val="Testonotaapidipagina"/>
    <w:qFormat/>
    <w:pPr>
      <w:tabs>
        <w:tab w:val="left" w:pos="283"/>
      </w:tabs>
      <w:spacing w:line="230" w:lineRule="atLeast"/>
      <w:ind w:left="284" w:hanging="284"/>
      <w:textAlignment w:val="center"/>
    </w:pPr>
    <w:rPr>
      <w:rFonts w:cs="Times New Roman"/>
    </w:rPr>
  </w:style>
  <w:style w:type="paragraph" w:styleId="Testonotaapidipagina">
    <w:name w:val="footnote text"/>
    <w:basedOn w:val="Normale"/>
    <w:link w:val="TestonotaapidipaginaCarattere"/>
    <w:pPr>
      <w:spacing w:before="0" w:line="232" w:lineRule="exact"/>
      <w:ind w:left="283" w:hanging="283"/>
    </w:pPr>
    <w:rPr>
      <w:sz w:val="19"/>
      <w:szCs w:val="20"/>
    </w:rPr>
  </w:style>
  <w:style w:type="paragraph" w:customStyle="1" w:styleId="Keywords">
    <w:name w:val="Keywords"/>
    <w:basedOn w:val="Normale"/>
    <w:qFormat/>
    <w:rPr>
      <w:sz w:val="20"/>
    </w:rPr>
  </w:style>
  <w:style w:type="paragraph" w:styleId="Citazioneintensa">
    <w:name w:val="Intense Quote"/>
    <w:basedOn w:val="Citazione"/>
    <w:next w:val="Normale"/>
    <w:link w:val="CitazioneintensaCarattere"/>
    <w:qFormat/>
    <w:rPr>
      <w:bCs/>
      <w:iCs w:val="0"/>
    </w:rPr>
  </w:style>
  <w:style w:type="paragraph" w:customStyle="1" w:styleId="ReferenceEntry">
    <w:name w:val="Reference Entry"/>
    <w:basedOn w:val="Normale"/>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Corpotesto"/>
    <w:qFormat/>
    <w:pPr>
      <w:spacing w:after="0"/>
      <w:ind w:left="283" w:hanging="283"/>
    </w:pPr>
  </w:style>
  <w:style w:type="paragraph" w:customStyle="1" w:styleId="Tabelleninhalt">
    <w:name w:val="Tabelleninhalt"/>
    <w:basedOn w:val="Normale"/>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Titoloindice">
    <w:name w:val="index heading"/>
    <w:basedOn w:val="Titolo1"/>
    <w:autoRedefine/>
  </w:style>
  <w:style w:type="paragraph" w:styleId="Indicefonti">
    <w:name w:val="table of authorities"/>
    <w:basedOn w:val="Titolo1"/>
    <w:autoRedefine/>
    <w:pPr>
      <w:suppressLineNumbers/>
    </w:pPr>
  </w:style>
  <w:style w:type="paragraph" w:styleId="Formuladichiusura">
    <w:name w:val="Closing"/>
    <w:basedOn w:val="berschrift"/>
    <w:next w:val="Corpotesto"/>
    <w:qFormat/>
    <w:pPr>
      <w:jc w:val="center"/>
    </w:pPr>
    <w:rPr>
      <w:bCs/>
      <w:szCs w:val="32"/>
    </w:rPr>
  </w:style>
  <w:style w:type="paragraph" w:styleId="Titolosommario">
    <w:name w:val="TOC Heading"/>
    <w:basedOn w:val="Titoloindice"/>
  </w:style>
  <w:style w:type="paragraph" w:customStyle="1" w:styleId="Abbildungsindexberschriften">
    <w:name w:val="Abbildungsindex Überschriften"/>
    <w:basedOn w:val="Titoloindice"/>
    <w:qFormat/>
  </w:style>
  <w:style w:type="paragraph" w:customStyle="1" w:styleId="OLtext">
    <w:name w:val="OL text"/>
    <w:basedOn w:val="Normale"/>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e"/>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e"/>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Testofumetto">
    <w:name w:val="Balloon Text"/>
    <w:basedOn w:val="Normale"/>
    <w:link w:val="TestofumettoCarattere"/>
    <w:qFormat/>
    <w:pPr>
      <w:spacing w:before="0" w:line="240" w:lineRule="auto"/>
    </w:pPr>
    <w:rPr>
      <w:rFonts w:ascii="Tahoma" w:hAnsi="Tahoma"/>
      <w:sz w:val="16"/>
      <w:szCs w:val="16"/>
    </w:rPr>
  </w:style>
  <w:style w:type="character" w:styleId="Collegamentovisitato">
    <w:name w:val="FollowedHyperlink"/>
    <w:basedOn w:val="Carpredefinitoparagrafo"/>
    <w:uiPriority w:val="99"/>
    <w:semiHidden/>
    <w:unhideWhenUsed/>
    <w:rsid w:val="008A531B"/>
    <w:rPr>
      <w:color w:val="954F72" w:themeColor="followedHyperlink"/>
      <w:u w:val="single"/>
    </w:rPr>
  </w:style>
  <w:style w:type="character" w:styleId="Menzionenonrisolta">
    <w:name w:val="Unresolved Mention"/>
    <w:basedOn w:val="Carpredefinitoparagrafo"/>
    <w:uiPriority w:val="99"/>
    <w:semiHidden/>
    <w:unhideWhenUsed/>
    <w:rsid w:val="008A53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tefania.biscetti@univaq.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751</Words>
  <Characters>4157</Characters>
  <Application>Microsoft Office Word</Application>
  <DocSecurity>0</DocSecurity>
  <Lines>65</Lines>
  <Paragraphs>23</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Manager/>
  <Company>Microsoft</Company>
  <LinksUpToDate>false</LinksUpToDate>
  <CharactersWithSpaces>4885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cp:keywords/>
  <dc:description/>
  <cp:lastModifiedBy>Microsoft Office User</cp:lastModifiedBy>
  <cp:revision>4</cp:revision>
  <cp:lastPrinted>2023-03-11T11:57:00Z</cp:lastPrinted>
  <dcterms:created xsi:type="dcterms:W3CDTF">2023-05-13T14:31:00Z</dcterms:created>
  <dcterms:modified xsi:type="dcterms:W3CDTF">2023-05-13T14:47:00Z</dcterms:modified>
  <cp:category/>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