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9F94A" w14:textId="730EEE53" w:rsidR="00AB181E" w:rsidRDefault="00527699">
      <w:pPr>
        <w:pStyle w:val="Author"/>
      </w:pPr>
      <w:r>
        <w:t>Thomas Herbst/Peter Uhrig</w:t>
      </w:r>
    </w:p>
    <w:p w14:paraId="4DDD76CE" w14:textId="76162FB8" w:rsidR="00AB181E" w:rsidRDefault="00527699">
      <w:pPr>
        <w:pStyle w:val="Titel"/>
      </w:pPr>
      <w:r w:rsidRPr="00527699">
        <w:t>Is there any such thing as constructional equivalence?</w:t>
      </w:r>
    </w:p>
    <w:p w14:paraId="25804F33" w14:textId="68CBE27E" w:rsidR="00AB181E" w:rsidRDefault="00224AA6">
      <w:pPr>
        <w:pStyle w:val="Keywords"/>
        <w:jc w:val="left"/>
      </w:pPr>
      <w:r>
        <w:rPr>
          <w:b/>
          <w:szCs w:val="20"/>
        </w:rPr>
        <w:t>Keywords:</w:t>
      </w:r>
      <w:r>
        <w:rPr>
          <w:szCs w:val="20"/>
        </w:rPr>
        <w:t xml:space="preserve"> </w:t>
      </w:r>
      <w:r w:rsidR="00527699">
        <w:rPr>
          <w:szCs w:val="20"/>
        </w:rPr>
        <w:t xml:space="preserve">constructions; </w:t>
      </w:r>
      <w:proofErr w:type="spellStart"/>
      <w:r w:rsidR="00527699">
        <w:rPr>
          <w:szCs w:val="20"/>
        </w:rPr>
        <w:t>constructicon</w:t>
      </w:r>
      <w:proofErr w:type="spellEnd"/>
      <w:r w:rsidR="00527699">
        <w:rPr>
          <w:szCs w:val="20"/>
        </w:rPr>
        <w:t xml:space="preserve">; </w:t>
      </w:r>
      <w:r>
        <w:rPr>
          <w:szCs w:val="20"/>
        </w:rPr>
        <w:t>Give at least three keywords separated by semicolons; do not end the keyword list with a full stop</w:t>
      </w:r>
    </w:p>
    <w:p w14:paraId="26364335" w14:textId="37428C0F" w:rsidR="00527699" w:rsidRPr="00527699" w:rsidRDefault="00527699" w:rsidP="00527699">
      <w:pPr>
        <w:rPr>
          <w:lang w:val="en-US"/>
        </w:rPr>
      </w:pPr>
      <w:r w:rsidRPr="00527699">
        <w:rPr>
          <w:lang w:val="en-US"/>
        </w:rPr>
        <w:t>One of the basic aims of the contrastive linguistics approach taken in the 1970s was that any comparison between two languages should be based on two independent descriptions of these languages (</w:t>
      </w:r>
      <w:proofErr w:type="spellStart"/>
      <w:r w:rsidRPr="00527699">
        <w:rPr>
          <w:lang w:val="en-US"/>
        </w:rPr>
        <w:t>Burgschmidt</w:t>
      </w:r>
      <w:proofErr w:type="spellEnd"/>
      <w:r w:rsidR="008E13C9">
        <w:rPr>
          <w:lang w:val="en-US"/>
        </w:rPr>
        <w:t>/</w:t>
      </w:r>
      <w:proofErr w:type="spellStart"/>
      <w:r w:rsidRPr="00527699">
        <w:rPr>
          <w:lang w:val="en-US"/>
        </w:rPr>
        <w:t>Götz</w:t>
      </w:r>
      <w:proofErr w:type="spellEnd"/>
      <w:r w:rsidRPr="00527699">
        <w:rPr>
          <w:lang w:val="en-US"/>
        </w:rPr>
        <w:t xml:space="preserve"> 1974). While this claim no doubt holds true today, we will argue in this presentation that this is easier said than done.</w:t>
      </w:r>
    </w:p>
    <w:p w14:paraId="0F9EE046" w14:textId="3CAFAA5D" w:rsidR="00527699" w:rsidRPr="00527699" w:rsidRDefault="00527699" w:rsidP="00527699">
      <w:pPr>
        <w:rPr>
          <w:lang w:val="en-US"/>
        </w:rPr>
      </w:pPr>
      <w:r w:rsidRPr="00527699">
        <w:rPr>
          <w:lang w:val="en-US"/>
        </w:rPr>
        <w:t>One of the more recent frameworks developed in language typology is that of comparative concepts (</w:t>
      </w:r>
      <w:proofErr w:type="spellStart"/>
      <w:r w:rsidRPr="00527699">
        <w:rPr>
          <w:lang w:val="en-US"/>
        </w:rPr>
        <w:t>Haspelmath</w:t>
      </w:r>
      <w:proofErr w:type="spellEnd"/>
      <w:r w:rsidRPr="00527699">
        <w:rPr>
          <w:lang w:val="en-US"/>
        </w:rPr>
        <w:t xml:space="preserve"> 2010</w:t>
      </w:r>
      <w:r w:rsidR="008E13C9">
        <w:rPr>
          <w:lang w:val="en-US"/>
        </w:rPr>
        <w:t>;</w:t>
      </w:r>
      <w:r w:rsidRPr="00527699">
        <w:rPr>
          <w:lang w:val="en-US"/>
        </w:rPr>
        <w:t xml:space="preserve"> Croft 2016). Croft (2022</w:t>
      </w:r>
      <w:r w:rsidR="008E13C9">
        <w:rPr>
          <w:lang w:val="en-US"/>
        </w:rPr>
        <w:t xml:space="preserve">, pp. </w:t>
      </w:r>
      <w:r w:rsidRPr="00527699">
        <w:rPr>
          <w:lang w:val="en-US"/>
        </w:rPr>
        <w:t>19–25) argues that within a Construction Grammar approach three levels of constructions can be identified:</w:t>
      </w:r>
    </w:p>
    <w:p w14:paraId="5D0E8657" w14:textId="77777777" w:rsidR="00527699" w:rsidRPr="00527699" w:rsidRDefault="00527699" w:rsidP="00527699">
      <w:pPr>
        <w:numPr>
          <w:ilvl w:val="0"/>
          <w:numId w:val="4"/>
        </w:numPr>
        <w:rPr>
          <w:lang w:val="en-US"/>
        </w:rPr>
      </w:pPr>
      <w:r w:rsidRPr="00527699">
        <w:rPr>
          <w:lang w:val="en-US"/>
        </w:rPr>
        <w:t>constructions of a non-language specific kind</w:t>
      </w:r>
    </w:p>
    <w:p w14:paraId="11449831" w14:textId="77777777" w:rsidR="00527699" w:rsidRPr="00527699" w:rsidRDefault="00527699" w:rsidP="00527699">
      <w:pPr>
        <w:numPr>
          <w:ilvl w:val="0"/>
          <w:numId w:val="4"/>
        </w:numPr>
        <w:rPr>
          <w:lang w:val="en-US"/>
        </w:rPr>
      </w:pPr>
      <w:r w:rsidRPr="00527699">
        <w:rPr>
          <w:lang w:val="en-US"/>
        </w:rPr>
        <w:t>strategies employed by particular languages to express a particular meaning</w:t>
      </w:r>
    </w:p>
    <w:p w14:paraId="0F8F4873" w14:textId="77777777" w:rsidR="00527699" w:rsidRPr="00527699" w:rsidRDefault="00527699" w:rsidP="00527699">
      <w:pPr>
        <w:numPr>
          <w:ilvl w:val="0"/>
          <w:numId w:val="4"/>
        </w:numPr>
        <w:rPr>
          <w:lang w:val="en-US"/>
        </w:rPr>
      </w:pPr>
      <w:r w:rsidRPr="00527699">
        <w:rPr>
          <w:lang w:val="en-US"/>
        </w:rPr>
        <w:t>language-specific Constructions in the sense of form-meaning pairings</w:t>
      </w:r>
    </w:p>
    <w:p w14:paraId="1FEF5514" w14:textId="77777777" w:rsidR="00527699" w:rsidRPr="00527699" w:rsidRDefault="00527699" w:rsidP="00527699">
      <w:pPr>
        <w:rPr>
          <w:lang w:val="en-US"/>
        </w:rPr>
      </w:pPr>
      <w:r w:rsidRPr="00527699">
        <w:rPr>
          <w:lang w:val="en-US"/>
        </w:rPr>
        <w:t xml:space="preserve">In this presentation, we will argue that there is no immediate need to regard levels (a) and (b) as constructions. Instead, we consider it sufficient to identify as the top level of the model semantic functions that can be expressed in the languages under comparison (for instance, a semantic function such as reference to the ‘future’ in the case of, say, Latin and English). The strategies employed in these languages differ in that Latin makes use of inflexions, whereas English makes use of combinations of different verbs. It will be argued here that it is only the level of language specific constructions such as the </w:t>
      </w:r>
      <w:r w:rsidRPr="00527699">
        <w:rPr>
          <w:i/>
          <w:iCs/>
          <w:smallCaps/>
          <w:lang w:val="en-US"/>
        </w:rPr>
        <w:t>will-</w:t>
      </w:r>
      <w:r w:rsidRPr="00527699">
        <w:rPr>
          <w:smallCaps/>
          <w:lang w:val="en-US"/>
        </w:rPr>
        <w:t>modal construction</w:t>
      </w:r>
      <w:r w:rsidRPr="00527699">
        <w:rPr>
          <w:lang w:val="en-US"/>
        </w:rPr>
        <w:t xml:space="preserve"> and the </w:t>
      </w:r>
      <w:r w:rsidRPr="00527699">
        <w:rPr>
          <w:i/>
          <w:iCs/>
          <w:smallCaps/>
          <w:lang w:val="en-US"/>
        </w:rPr>
        <w:t>be-going-to-</w:t>
      </w:r>
      <w:r w:rsidRPr="00527699">
        <w:rPr>
          <w:smallCaps/>
          <w:lang w:val="en-US"/>
        </w:rPr>
        <w:t>v construction</w:t>
      </w:r>
      <w:r w:rsidRPr="00527699">
        <w:rPr>
          <w:lang w:val="en-US"/>
        </w:rPr>
        <w:t xml:space="preserve"> at which the term construction is justified since it is only at this level that a specification in terms of form and function can be made.</w:t>
      </w:r>
    </w:p>
    <w:p w14:paraId="7615D91F" w14:textId="03008AFE" w:rsidR="00527699" w:rsidRPr="00527699" w:rsidRDefault="00527699" w:rsidP="00527699">
      <w:pPr>
        <w:rPr>
          <w:lang w:val="en-US"/>
        </w:rPr>
      </w:pPr>
      <w:r w:rsidRPr="00527699">
        <w:rPr>
          <w:lang w:val="en-US"/>
        </w:rPr>
        <w:t xml:space="preserve">Taking the German </w:t>
      </w:r>
      <w:r w:rsidRPr="00527699">
        <w:rPr>
          <w:smallCaps/>
          <w:lang w:val="en-US"/>
        </w:rPr>
        <w:t>ditransitive construction</w:t>
      </w:r>
      <w:r w:rsidRPr="00527699">
        <w:rPr>
          <w:lang w:val="en-US"/>
        </w:rPr>
        <w:t xml:space="preserve"> and the English </w:t>
      </w:r>
      <w:r w:rsidRPr="00527699">
        <w:rPr>
          <w:smallCaps/>
          <w:lang w:val="en-US"/>
        </w:rPr>
        <w:t>ditransitive construction</w:t>
      </w:r>
      <w:r w:rsidRPr="00527699">
        <w:rPr>
          <w:lang w:val="en-US"/>
        </w:rPr>
        <w:t xml:space="preserve"> as an example, we will illustrate at what levels differences between these constructions need to be captured: one very obvious one is form (nominative – dative – accusative vs., in the canonical form at least, word order). What is equally important, however, is that the German and the English constructions have different </w:t>
      </w:r>
      <w:proofErr w:type="spellStart"/>
      <w:r w:rsidRPr="00527699">
        <w:rPr>
          <w:lang w:val="en-US"/>
        </w:rPr>
        <w:t>collo</w:t>
      </w:r>
      <w:proofErr w:type="spellEnd"/>
      <w:r w:rsidRPr="00527699">
        <w:rPr>
          <w:lang w:val="en-US"/>
        </w:rPr>
        <w:t xml:space="preserve">-profiles. We see </w:t>
      </w:r>
      <w:proofErr w:type="spellStart"/>
      <w:r w:rsidRPr="00527699">
        <w:rPr>
          <w:lang w:val="en-US"/>
        </w:rPr>
        <w:t>collo</w:t>
      </w:r>
      <w:proofErr w:type="spellEnd"/>
      <w:r w:rsidRPr="00527699">
        <w:rPr>
          <w:lang w:val="en-US"/>
        </w:rPr>
        <w:t>-profiles that show which verbs typically occur in a particular argument structure construction (</w:t>
      </w:r>
      <w:r w:rsidRPr="00527699">
        <w:rPr>
          <w:i/>
          <w:iCs/>
          <w:lang w:val="en-US"/>
        </w:rPr>
        <w:t xml:space="preserve">give </w:t>
      </w:r>
      <w:r w:rsidRPr="00527699">
        <w:rPr>
          <w:lang w:val="en-US"/>
        </w:rPr>
        <w:t>making up more than 50% of the occurrences of the ditransitive construction in the BNC) (Herbst 2020) as an integral part of the description of constructions in the sense of Goldberg (2019</w:t>
      </w:r>
      <w:r w:rsidR="008E13C9">
        <w:rPr>
          <w:lang w:val="en-US"/>
        </w:rPr>
        <w:t>, p.</w:t>
      </w:r>
      <w:r w:rsidRPr="00527699">
        <w:rPr>
          <w:lang w:val="en-US"/>
        </w:rPr>
        <w:t xml:space="preserve"> 7).</w:t>
      </w:r>
    </w:p>
    <w:p w14:paraId="466B2E72" w14:textId="6F936286" w:rsidR="00527699" w:rsidRDefault="00527699" w:rsidP="00527699">
      <w:r w:rsidRPr="00527699">
        <w:rPr>
          <w:lang w:val="en-US"/>
        </w:rPr>
        <w:t xml:space="preserve">The fact that verbs that are generally considered to be equivalent such as </w:t>
      </w:r>
      <w:proofErr w:type="spellStart"/>
      <w:r w:rsidRPr="00527699">
        <w:rPr>
          <w:i/>
          <w:iCs/>
          <w:lang w:val="en-US"/>
        </w:rPr>
        <w:t>erklären</w:t>
      </w:r>
      <w:proofErr w:type="spellEnd"/>
      <w:r w:rsidRPr="00527699">
        <w:rPr>
          <w:i/>
          <w:iCs/>
          <w:lang w:val="en-US"/>
        </w:rPr>
        <w:t xml:space="preserve"> </w:t>
      </w:r>
      <w:r w:rsidRPr="00527699">
        <w:rPr>
          <w:lang w:val="en-US"/>
        </w:rPr>
        <w:t xml:space="preserve">and </w:t>
      </w:r>
      <w:r w:rsidRPr="00527699">
        <w:rPr>
          <w:i/>
          <w:iCs/>
          <w:lang w:val="en-US"/>
        </w:rPr>
        <w:t xml:space="preserve">explain </w:t>
      </w:r>
      <w:r w:rsidRPr="00527699">
        <w:rPr>
          <w:lang w:val="en-US"/>
        </w:rPr>
        <w:t>behave differently in that the former occurs in the ditransitive construction whereas the latter does not can be taken as an indication of the complexity of contrasting constructions across languages. We will argue that constructions expressing the same or similar semantic content (</w:t>
      </w:r>
      <w:r w:rsidRPr="00527699">
        <w:rPr>
          <w:i/>
          <w:iCs/>
          <w:lang w:val="en-US"/>
        </w:rPr>
        <w:t xml:space="preserve">She explained the problem to </w:t>
      </w:r>
      <w:r w:rsidRPr="00527699">
        <w:rPr>
          <w:i/>
          <w:lang w:val="en-US"/>
        </w:rPr>
        <w:t>him</w:t>
      </w:r>
      <w:r w:rsidRPr="00527699">
        <w:rPr>
          <w:lang w:val="en-US"/>
        </w:rPr>
        <w:t xml:space="preserve">) will have to be considered together with, </w:t>
      </w:r>
      <w:r w:rsidRPr="00527699">
        <w:rPr>
          <w:lang w:val="en-US"/>
        </w:rPr>
        <w:lastRenderedPageBreak/>
        <w:t>for instance, the ditransitive and that any contrastive analysis should be based on general semantic functions and argument roles, but not on “general” constructions.</w:t>
      </w:r>
    </w:p>
    <w:p w14:paraId="6461EFA7" w14:textId="77777777" w:rsidR="00AB181E" w:rsidRPr="008E13C9" w:rsidRDefault="00224AA6">
      <w:pPr>
        <w:pStyle w:val="Rechtsgrundlagenverzeichnis"/>
        <w:rPr>
          <w:lang w:val="de-DE"/>
        </w:rPr>
      </w:pPr>
      <w:r w:rsidRPr="008E13C9">
        <w:rPr>
          <w:lang w:val="de-DE"/>
        </w:rPr>
        <w:t>References</w:t>
      </w:r>
    </w:p>
    <w:p w14:paraId="7552F0FF" w14:textId="01B79EB4" w:rsidR="008E13C9" w:rsidRPr="008E13C9" w:rsidRDefault="008E13C9" w:rsidP="008E13C9">
      <w:pPr>
        <w:pStyle w:val="Literaturverzeichnis1"/>
        <w:ind w:left="397" w:hanging="397"/>
        <w:rPr>
          <w:lang w:val="de-DE"/>
        </w:rPr>
      </w:pPr>
      <w:proofErr w:type="spellStart"/>
      <w:r w:rsidRPr="008E13C9">
        <w:rPr>
          <w:lang w:val="de-DE"/>
        </w:rPr>
        <w:t>Burgschmidt</w:t>
      </w:r>
      <w:proofErr w:type="spellEnd"/>
      <w:r w:rsidRPr="008E13C9">
        <w:rPr>
          <w:lang w:val="de-DE"/>
        </w:rPr>
        <w:t>, Ernst</w:t>
      </w:r>
      <w:r>
        <w:rPr>
          <w:lang w:val="de-DE"/>
        </w:rPr>
        <w:t xml:space="preserve">/Götz, </w:t>
      </w:r>
      <w:r w:rsidRPr="008E13C9">
        <w:rPr>
          <w:lang w:val="de-DE"/>
        </w:rPr>
        <w:t>Dieter</w:t>
      </w:r>
      <w:r>
        <w:rPr>
          <w:lang w:val="de-DE"/>
        </w:rPr>
        <w:t xml:space="preserve"> (</w:t>
      </w:r>
      <w:r w:rsidRPr="008E13C9">
        <w:rPr>
          <w:lang w:val="de-DE"/>
        </w:rPr>
        <w:t>1974</w:t>
      </w:r>
      <w:r>
        <w:rPr>
          <w:lang w:val="de-DE"/>
        </w:rPr>
        <w:t>):</w:t>
      </w:r>
      <w:r w:rsidRPr="008E13C9">
        <w:rPr>
          <w:lang w:val="de-DE"/>
        </w:rPr>
        <w:t xml:space="preserve"> Kontrastive Linguistik. Deutsch/Englisch.</w:t>
      </w:r>
      <w:r w:rsidRPr="008E13C9">
        <w:rPr>
          <w:iCs/>
          <w:lang w:val="de-DE"/>
        </w:rPr>
        <w:t xml:space="preserve"> München: </w:t>
      </w:r>
      <w:proofErr w:type="spellStart"/>
      <w:r w:rsidRPr="008E13C9">
        <w:rPr>
          <w:iCs/>
          <w:lang w:val="de-DE"/>
        </w:rPr>
        <w:t>Hueber</w:t>
      </w:r>
      <w:proofErr w:type="spellEnd"/>
      <w:r w:rsidRPr="008E13C9">
        <w:rPr>
          <w:iCs/>
          <w:lang w:val="de-DE"/>
        </w:rPr>
        <w:t>.</w:t>
      </w:r>
    </w:p>
    <w:p w14:paraId="7F0EC3F3" w14:textId="0328E2BF" w:rsidR="008E13C9" w:rsidRPr="008E13C9" w:rsidRDefault="008E13C9" w:rsidP="008E13C9">
      <w:pPr>
        <w:pStyle w:val="Literaturverzeichnis1"/>
        <w:ind w:left="397" w:hanging="397"/>
        <w:rPr>
          <w:lang w:val="en-US"/>
        </w:rPr>
      </w:pPr>
      <w:r w:rsidRPr="008E13C9">
        <w:rPr>
          <w:lang w:val="en-US"/>
        </w:rPr>
        <w:t>Croft, William</w:t>
      </w:r>
      <w:r w:rsidRPr="008E13C9">
        <w:rPr>
          <w:lang w:val="en-US"/>
        </w:rPr>
        <w:t xml:space="preserve"> (</w:t>
      </w:r>
      <w:r w:rsidRPr="008E13C9">
        <w:rPr>
          <w:lang w:val="en-US"/>
        </w:rPr>
        <w:t>2016</w:t>
      </w:r>
      <w:r>
        <w:rPr>
          <w:lang w:val="en-US"/>
        </w:rPr>
        <w:t>):</w:t>
      </w:r>
      <w:r w:rsidRPr="008E13C9">
        <w:rPr>
          <w:lang w:val="en-US"/>
        </w:rPr>
        <w:t xml:space="preserve"> Comparative concepts and language-specific categories: Theory and practice. </w:t>
      </w:r>
      <w:r>
        <w:rPr>
          <w:lang w:val="en-US"/>
        </w:rPr>
        <w:t xml:space="preserve">In: </w:t>
      </w:r>
      <w:r w:rsidRPr="008E13C9">
        <w:rPr>
          <w:lang w:val="en-US"/>
        </w:rPr>
        <w:t>Linguistic Typology 20(2)</w:t>
      </w:r>
      <w:r>
        <w:rPr>
          <w:lang w:val="en-US"/>
        </w:rPr>
        <w:t>, pp.</w:t>
      </w:r>
      <w:r w:rsidRPr="008E13C9">
        <w:rPr>
          <w:lang w:val="en-US"/>
        </w:rPr>
        <w:t xml:space="preserve"> 377–393</w:t>
      </w:r>
    </w:p>
    <w:p w14:paraId="7953E6DF" w14:textId="3711AE03" w:rsidR="008E13C9" w:rsidRPr="008E13C9" w:rsidRDefault="008E13C9" w:rsidP="008E13C9">
      <w:pPr>
        <w:pStyle w:val="Literaturverzeichnis1"/>
        <w:ind w:left="397" w:hanging="397"/>
        <w:rPr>
          <w:lang w:val="en-US"/>
        </w:rPr>
      </w:pPr>
      <w:r w:rsidRPr="008E13C9">
        <w:rPr>
          <w:lang w:val="en-US"/>
        </w:rPr>
        <w:t>Croft, William</w:t>
      </w:r>
      <w:r>
        <w:rPr>
          <w:lang w:val="en-US"/>
        </w:rPr>
        <w:t xml:space="preserve"> (</w:t>
      </w:r>
      <w:r w:rsidRPr="008E13C9">
        <w:rPr>
          <w:lang w:val="en-US"/>
        </w:rPr>
        <w:t>2022</w:t>
      </w:r>
      <w:r>
        <w:rPr>
          <w:lang w:val="en-US"/>
        </w:rPr>
        <w:t>):</w:t>
      </w:r>
      <w:r w:rsidRPr="008E13C9">
        <w:rPr>
          <w:lang w:val="en-US"/>
        </w:rPr>
        <w:t xml:space="preserve"> Morphosyntax: Constructions of the World’s Languages. Cambridge: Cambridge University Press.</w:t>
      </w:r>
    </w:p>
    <w:p w14:paraId="29F22237" w14:textId="66E66EE0" w:rsidR="008E13C9" w:rsidRPr="008E13C9" w:rsidRDefault="008E13C9" w:rsidP="008E13C9">
      <w:pPr>
        <w:pStyle w:val="Literaturverzeichnis1"/>
        <w:ind w:left="397" w:hanging="397"/>
        <w:rPr>
          <w:lang w:val="en-US"/>
        </w:rPr>
      </w:pPr>
      <w:r w:rsidRPr="008E13C9">
        <w:rPr>
          <w:lang w:val="en-US"/>
        </w:rPr>
        <w:t xml:space="preserve">Goldberg, Adele E. </w:t>
      </w:r>
      <w:r>
        <w:rPr>
          <w:lang w:val="en-US"/>
        </w:rPr>
        <w:t>(</w:t>
      </w:r>
      <w:r w:rsidRPr="008E13C9">
        <w:rPr>
          <w:lang w:val="en-US"/>
        </w:rPr>
        <w:t>2019</w:t>
      </w:r>
      <w:r>
        <w:rPr>
          <w:lang w:val="en-US"/>
        </w:rPr>
        <w:t>):</w:t>
      </w:r>
      <w:r w:rsidRPr="008E13C9">
        <w:rPr>
          <w:lang w:val="en-US"/>
        </w:rPr>
        <w:t xml:space="preserve"> Explain Me This: Creativity, Competition, and the Partial Productivity of Constructions. Princeton: Princeton University Press.</w:t>
      </w:r>
    </w:p>
    <w:p w14:paraId="21850D56" w14:textId="0CAAA2B2" w:rsidR="008E13C9" w:rsidRPr="008E13C9" w:rsidRDefault="008E13C9" w:rsidP="008E13C9">
      <w:pPr>
        <w:pStyle w:val="Literaturverzeichnis1"/>
        <w:ind w:left="397" w:hanging="397"/>
        <w:rPr>
          <w:lang w:val="en-US"/>
        </w:rPr>
      </w:pPr>
      <w:proofErr w:type="spellStart"/>
      <w:r w:rsidRPr="008E13C9">
        <w:rPr>
          <w:lang w:val="en-US"/>
        </w:rPr>
        <w:t>Haspelmath</w:t>
      </w:r>
      <w:proofErr w:type="spellEnd"/>
      <w:r w:rsidRPr="008E13C9">
        <w:rPr>
          <w:lang w:val="en-US"/>
        </w:rPr>
        <w:t>, Martin</w:t>
      </w:r>
      <w:r>
        <w:rPr>
          <w:lang w:val="en-US"/>
        </w:rPr>
        <w:t xml:space="preserve"> (</w:t>
      </w:r>
      <w:r w:rsidRPr="008E13C9">
        <w:rPr>
          <w:lang w:val="en-US"/>
        </w:rPr>
        <w:t>2010</w:t>
      </w:r>
      <w:r>
        <w:rPr>
          <w:lang w:val="en-US"/>
        </w:rPr>
        <w:t>):</w:t>
      </w:r>
      <w:r w:rsidRPr="008E13C9">
        <w:rPr>
          <w:lang w:val="en-US"/>
        </w:rPr>
        <w:t xml:space="preserve"> Comparative concepts and descriptive categories in crosslinguistic studies. </w:t>
      </w:r>
      <w:r>
        <w:rPr>
          <w:lang w:val="en-US"/>
        </w:rPr>
        <w:t xml:space="preserve">In: </w:t>
      </w:r>
      <w:r w:rsidRPr="008E13C9">
        <w:rPr>
          <w:lang w:val="en-US"/>
        </w:rPr>
        <w:t>Language 86</w:t>
      </w:r>
      <w:r>
        <w:rPr>
          <w:lang w:val="en-US"/>
        </w:rPr>
        <w:t>, pp.</w:t>
      </w:r>
      <w:r w:rsidRPr="008E13C9">
        <w:rPr>
          <w:lang w:val="en-US"/>
        </w:rPr>
        <w:t xml:space="preserve"> 663–687.</w:t>
      </w:r>
    </w:p>
    <w:p w14:paraId="021251A1" w14:textId="1BD66E0D" w:rsidR="008E13C9" w:rsidRPr="008E13C9" w:rsidRDefault="008E13C9" w:rsidP="008E13C9">
      <w:pPr>
        <w:pStyle w:val="Literaturverzeichnis1"/>
        <w:ind w:left="397" w:hanging="397"/>
        <w:rPr>
          <w:lang w:val="en-US"/>
        </w:rPr>
      </w:pPr>
      <w:r w:rsidRPr="008E13C9">
        <w:rPr>
          <w:lang w:val="en-US"/>
        </w:rPr>
        <w:t>Herbst, Thomas</w:t>
      </w:r>
      <w:r>
        <w:rPr>
          <w:lang w:val="en-US"/>
        </w:rPr>
        <w:t xml:space="preserve"> (</w:t>
      </w:r>
      <w:r w:rsidRPr="008E13C9">
        <w:rPr>
          <w:lang w:val="en-US"/>
        </w:rPr>
        <w:t>2020</w:t>
      </w:r>
      <w:r>
        <w:rPr>
          <w:lang w:val="en-US"/>
        </w:rPr>
        <w:t>):</w:t>
      </w:r>
      <w:r w:rsidRPr="008E13C9">
        <w:rPr>
          <w:lang w:val="en-US"/>
        </w:rPr>
        <w:t xml:space="preserve"> Constructions, generalizations, and the unpredictability of language: Moving towards </w:t>
      </w:r>
      <w:proofErr w:type="spellStart"/>
      <w:r w:rsidRPr="008E13C9">
        <w:rPr>
          <w:lang w:val="en-US"/>
        </w:rPr>
        <w:t>colloconstruction</w:t>
      </w:r>
      <w:proofErr w:type="spellEnd"/>
      <w:r w:rsidRPr="008E13C9">
        <w:rPr>
          <w:lang w:val="en-US"/>
        </w:rPr>
        <w:t xml:space="preserve"> grammar. </w:t>
      </w:r>
      <w:r>
        <w:rPr>
          <w:lang w:val="en-US"/>
        </w:rPr>
        <w:t xml:space="preserve">In: </w:t>
      </w:r>
      <w:r w:rsidRPr="008E13C9">
        <w:rPr>
          <w:lang w:val="en-US"/>
        </w:rPr>
        <w:t>Constructions and Frames 12</w:t>
      </w:r>
      <w:r>
        <w:rPr>
          <w:lang w:val="en-US"/>
        </w:rPr>
        <w:t>(</w:t>
      </w:r>
      <w:r w:rsidRPr="008E13C9">
        <w:rPr>
          <w:lang w:val="en-US"/>
        </w:rPr>
        <w:t>1</w:t>
      </w:r>
      <w:r>
        <w:rPr>
          <w:lang w:val="en-US"/>
        </w:rPr>
        <w:t xml:space="preserve">), pp. </w:t>
      </w:r>
      <w:r w:rsidRPr="008E13C9">
        <w:rPr>
          <w:lang w:val="en-US"/>
        </w:rPr>
        <w:t xml:space="preserve">56–96. </w:t>
      </w:r>
    </w:p>
    <w:p w14:paraId="086EAC76" w14:textId="77777777" w:rsidR="00AB181E" w:rsidRDefault="00224AA6">
      <w:pPr>
        <w:pStyle w:val="berschrift1"/>
      </w:pPr>
      <w:r>
        <w:t>Contact information</w:t>
      </w:r>
    </w:p>
    <w:p w14:paraId="18DAE28B" w14:textId="77777777" w:rsidR="00AB181E" w:rsidRDefault="00224AA6">
      <w:r>
        <w:t>Enter the name of each author, institution and email address. Please note that this information will be published. Use the format/style for reference entries.</w:t>
      </w:r>
    </w:p>
    <w:p w14:paraId="2031A067" w14:textId="57343479" w:rsidR="00AB181E" w:rsidRDefault="00527699">
      <w:r>
        <w:rPr>
          <w:rStyle w:val="Fett"/>
        </w:rPr>
        <w:t>Thomas Herbst</w:t>
      </w:r>
    </w:p>
    <w:p w14:paraId="2AE341D9" w14:textId="181B4D50" w:rsidR="00AB181E" w:rsidRPr="00527699" w:rsidRDefault="00527699">
      <w:pPr>
        <w:rPr>
          <w:lang w:val="de-DE"/>
        </w:rPr>
      </w:pPr>
      <w:r>
        <w:rPr>
          <w:lang w:val="de-DE"/>
        </w:rPr>
        <w:t>Friedrich-Alexander-Universität Erlangen-Nürnberg</w:t>
      </w:r>
    </w:p>
    <w:p w14:paraId="6B61DEAC" w14:textId="19320E9B" w:rsidR="00AB181E" w:rsidRPr="00527699" w:rsidRDefault="00527699">
      <w:pPr>
        <w:rPr>
          <w:lang w:val="de-DE"/>
        </w:rPr>
      </w:pPr>
      <w:hyperlink r:id="rId7" w:history="1">
        <w:r w:rsidRPr="003C1A1B">
          <w:rPr>
            <w:rStyle w:val="Hyperlink"/>
            <w:lang w:val="de-DE"/>
          </w:rPr>
          <w:t>thomas.herbst@fau.de</w:t>
        </w:r>
      </w:hyperlink>
    </w:p>
    <w:p w14:paraId="7591F93E" w14:textId="418CF7C5" w:rsidR="00527699" w:rsidRPr="00527699" w:rsidRDefault="00527699" w:rsidP="00527699">
      <w:pPr>
        <w:rPr>
          <w:lang w:val="de-DE"/>
        </w:rPr>
      </w:pPr>
      <w:r>
        <w:rPr>
          <w:rStyle w:val="Fett"/>
          <w:lang w:val="de-DE"/>
        </w:rPr>
        <w:t>Peter Uhrig</w:t>
      </w:r>
    </w:p>
    <w:p w14:paraId="7C13C44B" w14:textId="6C3DF040" w:rsidR="00527699" w:rsidRPr="00527699" w:rsidRDefault="00527699" w:rsidP="00527699">
      <w:pPr>
        <w:rPr>
          <w:lang w:val="de-DE"/>
        </w:rPr>
      </w:pPr>
      <w:r>
        <w:rPr>
          <w:lang w:val="de-DE"/>
        </w:rPr>
        <w:t>Technische Universität Dresden</w:t>
      </w:r>
    </w:p>
    <w:p w14:paraId="1D5E6C5B" w14:textId="4C2C2AF2" w:rsidR="00527699" w:rsidRPr="00527699" w:rsidRDefault="008E13C9" w:rsidP="00527699">
      <w:pPr>
        <w:rPr>
          <w:lang w:val="de-DE"/>
        </w:rPr>
      </w:pPr>
      <w:hyperlink r:id="rId8" w:history="1">
        <w:r w:rsidRPr="003C1A1B">
          <w:rPr>
            <w:rStyle w:val="Hyperlink"/>
            <w:lang w:val="de-DE"/>
          </w:rPr>
          <w:t>peter.uhrig@tu-dresden.de</w:t>
        </w:r>
      </w:hyperlink>
    </w:p>
    <w:p w14:paraId="69730F4F" w14:textId="77777777" w:rsidR="00AB181E" w:rsidRPr="00527699" w:rsidRDefault="00AB181E">
      <w:pPr>
        <w:pStyle w:val="Literaturverzeichnis1"/>
        <w:ind w:left="0" w:firstLine="0"/>
        <w:rPr>
          <w:lang w:val="de-DE"/>
        </w:rPr>
      </w:pPr>
    </w:p>
    <w:sectPr w:rsidR="00AB181E" w:rsidRPr="00527699">
      <w:headerReference w:type="default" r:id="rId9"/>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BF70F" w14:textId="77777777" w:rsidR="00A07975" w:rsidRDefault="00A07975">
      <w:pPr>
        <w:spacing w:before="0" w:line="240" w:lineRule="auto"/>
      </w:pPr>
      <w:r>
        <w:separator/>
      </w:r>
    </w:p>
  </w:endnote>
  <w:endnote w:type="continuationSeparator" w:id="0">
    <w:p w14:paraId="66505E96" w14:textId="77777777" w:rsidR="00A07975" w:rsidRDefault="00A0797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0113F4A-13AD-4A1A-9FBB-EFB9909F9C6A}"/>
    <w:embedBold r:id="rId2" w:fontKey="{198D461D-2BE2-4553-B98F-D4E0E73BBA63}"/>
    <w:embedItalic r:id="rId3" w:fontKey="{298D69BE-F6D8-4BAC-8E3D-DB84F9DF31C2}"/>
  </w:font>
  <w:font w:name="Tahoma">
    <w:panose1 w:val="020B0604030504040204"/>
    <w:charset w:val="00"/>
    <w:family w:val="swiss"/>
    <w:pitch w:val="variable"/>
    <w:sig w:usb0="E1002EFF" w:usb1="C000605B" w:usb2="00000029" w:usb3="00000000" w:csb0="000101FF" w:csb1="00000000"/>
    <w:embedRegular r:id="rId4" w:fontKey="{840132FD-A054-4BA2-9AB2-761379404D1D}"/>
    <w:embedBold r:id="rId5" w:fontKey="{CCCA40E2-FD60-4A7F-BCE7-AF15C1C7FBDD}"/>
    <w:embedItalic r:id="rId6" w:fontKey="{055E9FC5-0F3B-40A4-934D-ED0EE8438ADC}"/>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2B368DD2-A719-4F9F-BC9E-F9500D646219}"/>
    <w:embedBold r:id="rId8" w:fontKey="{40CB4D44-FAEA-4776-B6F8-1A3EC9808D2F}"/>
  </w:font>
  <w:font w:name="OpenSymbol">
    <w:altName w:val="Arial Unicode MS"/>
    <w:panose1 w:val="05010000000000000000"/>
    <w:charset w:val="00"/>
    <w:family w:val="auto"/>
    <w:pitch w:val="variable"/>
    <w:sig w:usb0="800000AF" w:usb1="1001ECEA" w:usb2="00000000" w:usb3="00000000" w:csb0="80000001" w:csb1="00000000"/>
    <w:embedRegular r:id="rId9" w:fontKey="{62022211-AD37-4EB4-BCD0-6CFC851A3D37}"/>
  </w:font>
  <w:font w:name="Liberation Sans">
    <w:altName w:val="Arial"/>
    <w:panose1 w:val="020B0604020202020204"/>
    <w:charset w:val="00"/>
    <w:family w:val="swiss"/>
    <w:pitch w:val="variable"/>
    <w:sig w:usb0="E0000AFF" w:usb1="500078FF" w:usb2="00000021" w:usb3="00000000" w:csb0="000001BF" w:csb1="00000000"/>
    <w:embedBold r:id="rId10" w:fontKey="{4D67596C-2969-47F7-B9E9-416081DF9D7E}"/>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DDBDA7C7-D827-4803-93DA-A3F9A1CDB9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9F6D"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14:paraId="5075E300" w14:textId="77777777" w:rsidR="00AB181E" w:rsidRDefault="00AB181E">
    <w:pPr>
      <w:pStyle w:val="Fuzeile"/>
    </w:pPr>
  </w:p>
  <w:p w14:paraId="55925F00"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4BB92" w14:textId="77777777" w:rsidR="00A07975" w:rsidRDefault="00A07975">
      <w:pPr>
        <w:rPr>
          <w:sz w:val="12"/>
        </w:rPr>
      </w:pPr>
      <w:r>
        <w:separator/>
      </w:r>
    </w:p>
  </w:footnote>
  <w:footnote w:type="continuationSeparator" w:id="0">
    <w:p w14:paraId="0D30D8B0" w14:textId="77777777" w:rsidR="00A07975" w:rsidRDefault="00A07975">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7DB3" w14:textId="77777777" w:rsidR="00AB181E" w:rsidRDefault="00224AA6">
    <w:pPr>
      <w:pStyle w:val="Kopfzeile"/>
    </w:pPr>
    <w:r>
      <w:t>ICLC-10 2023 - Document Template for Revised Abstract</w:t>
    </w:r>
    <w:r>
      <w:rPr>
        <w:lang w:val="en-US"/>
      </w:rPr>
      <w:t>s</w:t>
    </w:r>
  </w:p>
  <w:p w14:paraId="6D5F13B1"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560B2475"/>
    <w:multiLevelType w:val="hybridMultilevel"/>
    <w:tmpl w:val="9D4008D0"/>
    <w:lvl w:ilvl="0" w:tplc="72F461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40069C"/>
    <w:rsid w:val="004C5262"/>
    <w:rsid w:val="00527699"/>
    <w:rsid w:val="00694682"/>
    <w:rsid w:val="00717483"/>
    <w:rsid w:val="008E13C9"/>
    <w:rsid w:val="009D4AD9"/>
    <w:rsid w:val="00A07975"/>
    <w:rsid w:val="00A54BA3"/>
    <w:rsid w:val="00AB181E"/>
    <w:rsid w:val="00B22F8E"/>
    <w:rsid w:val="00C425D1"/>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264AE"/>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699"/>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NichtaufgelsteErwhnung">
    <w:name w:val="Unresolved Mention"/>
    <w:basedOn w:val="Absatz-Standardschriftart"/>
    <w:uiPriority w:val="99"/>
    <w:semiHidden/>
    <w:unhideWhenUsed/>
    <w:rsid w:val="00527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eter.uhrig@tu-dresden.de" TargetMode="External"/><Relationship Id="rId3" Type="http://schemas.openxmlformats.org/officeDocument/2006/relationships/settings" Target="settings.xml"/><Relationship Id="rId7" Type="http://schemas.openxmlformats.org/officeDocument/2006/relationships/hyperlink" Target="mailto:thomas.herbst@fau.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608</Words>
  <Characters>3836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Uhrig, Peter</cp:lastModifiedBy>
  <cp:revision>2</cp:revision>
  <cp:lastPrinted>2023-03-11T11:57:00Z</cp:lastPrinted>
  <dcterms:created xsi:type="dcterms:W3CDTF">2023-05-17T09:46:00Z</dcterms:created>
  <dcterms:modified xsi:type="dcterms:W3CDTF">2023-05-17T09:46:00Z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