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E2E858" w14:textId="77777777" w:rsidR="00AB181E" w:rsidRDefault="00562936">
      <w:pPr>
        <w:pStyle w:val="Author"/>
      </w:pPr>
      <w:r>
        <w:t>Jörg Bücker</w:t>
      </w:r>
    </w:p>
    <w:p w14:paraId="25F8376F" w14:textId="77777777" w:rsidR="00AB181E" w:rsidRDefault="00562936">
      <w:pPr>
        <w:pStyle w:val="Titel"/>
      </w:pPr>
      <w:r w:rsidRPr="00562936">
        <w:t>The circumpositions of German from a typological and contrastive point of view</w:t>
      </w:r>
    </w:p>
    <w:p w14:paraId="3E737165" w14:textId="77777777" w:rsidR="00AB181E" w:rsidRDefault="00224AA6">
      <w:pPr>
        <w:pStyle w:val="Keywords"/>
        <w:jc w:val="left"/>
      </w:pPr>
      <w:r>
        <w:rPr>
          <w:b/>
          <w:szCs w:val="20"/>
        </w:rPr>
        <w:t>Keywords:</w:t>
      </w:r>
      <w:r>
        <w:rPr>
          <w:szCs w:val="20"/>
        </w:rPr>
        <w:t xml:space="preserve"> </w:t>
      </w:r>
      <w:r w:rsidR="00562936" w:rsidRPr="00562936">
        <w:rPr>
          <w:szCs w:val="20"/>
        </w:rPr>
        <w:t>Adpositions; Possession; Satellite-framed; Dependent-marking; Sentence bracket; Space</w:t>
      </w:r>
    </w:p>
    <w:p w14:paraId="6DD201E3" w14:textId="2FA5F200" w:rsidR="00AB181E" w:rsidRDefault="00FF486D">
      <w:r w:rsidRPr="00FF486D">
        <w:t>German and other Germanic languages have two classes of circumpositions (cf. Bücker 2022). Denominal N-circumpositions have low type and token frequencies, always take the genitive, never have a spatial meaning and developed from PPs with possessive phrases as complements (cf. German</w:t>
      </w:r>
      <w:r w:rsidR="00E16C95">
        <w:t xml:space="preserve"> </w:t>
      </w:r>
      <w:r w:rsidR="00E16C95" w:rsidRPr="00E16C95">
        <w:rPr>
          <w:i/>
        </w:rPr>
        <w:t>um</w:t>
      </w:r>
      <w:r w:rsidR="00E16C95">
        <w:t xml:space="preserve"> – </w:t>
      </w:r>
      <w:r w:rsidR="00E16C95" w:rsidRPr="00E16C95">
        <w:rPr>
          <w:i/>
        </w:rPr>
        <w:t>willen</w:t>
      </w:r>
      <w:r w:rsidR="00E16C95">
        <w:t xml:space="preserve"> in </w:t>
      </w:r>
      <w:r w:rsidRPr="00FF486D">
        <w:rPr>
          <w:i/>
        </w:rPr>
        <w:t>um</w:t>
      </w:r>
      <w:r w:rsidR="00434672">
        <w:rPr>
          <w:i/>
        </w:rPr>
        <w:t xml:space="preserve"> Peters </w:t>
      </w:r>
      <w:r w:rsidRPr="00FF486D">
        <w:rPr>
          <w:i/>
        </w:rPr>
        <w:t>willen</w:t>
      </w:r>
      <w:r w:rsidRPr="00FF486D">
        <w:t xml:space="preserve"> ‘for </w:t>
      </w:r>
      <w:r w:rsidR="00BD2368">
        <w:t>Peter’s</w:t>
      </w:r>
      <w:r w:rsidRPr="00FF486D">
        <w:t xml:space="preserve"> sake’ with a former possessive genitive</w:t>
      </w:r>
      <w:r w:rsidR="00BD2368">
        <w:t xml:space="preserve"> on </w:t>
      </w:r>
      <w:r w:rsidR="00BD2368" w:rsidRPr="00BD2368">
        <w:rPr>
          <w:i/>
        </w:rPr>
        <w:t>Peter</w:t>
      </w:r>
      <w:r w:rsidRPr="00FF486D">
        <w:t xml:space="preserve">, </w:t>
      </w:r>
      <w:r w:rsidRPr="00FF486D">
        <w:rPr>
          <w:i/>
        </w:rPr>
        <w:t>willen</w:t>
      </w:r>
      <w:r w:rsidRPr="00FF486D">
        <w:t xml:space="preserve"> as a former possessed noun and </w:t>
      </w:r>
      <w:r w:rsidRPr="00FF486D">
        <w:rPr>
          <w:i/>
        </w:rPr>
        <w:t>um</w:t>
      </w:r>
      <w:r w:rsidRPr="00FF486D">
        <w:t xml:space="preserve"> as a former preposition). Deadverbial A-circumpositions, on the other hand, form a larger class and can have higher type and token frequencies. Their case assignment is transparently controlled by their left part, they (almost) always have a basic spatial meaning, and historically they trace back to prepositional phrases modifying subsequent verb particles (cf. German </w:t>
      </w:r>
      <w:r w:rsidRPr="00FF486D">
        <w:rPr>
          <w:i/>
        </w:rPr>
        <w:t>von</w:t>
      </w:r>
      <w:r w:rsidRPr="00FF486D">
        <w:t xml:space="preserve"> – </w:t>
      </w:r>
      <w:r w:rsidRPr="00FF486D">
        <w:rPr>
          <w:i/>
        </w:rPr>
        <w:t>an</w:t>
      </w:r>
      <w:r w:rsidRPr="00FF486D">
        <w:t xml:space="preserve"> </w:t>
      </w:r>
      <w:r w:rsidR="004E79CC">
        <w:t xml:space="preserve">in </w:t>
      </w:r>
      <w:r w:rsidR="004E79CC" w:rsidRPr="005D14C3">
        <w:rPr>
          <w:i/>
        </w:rPr>
        <w:t xml:space="preserve">von </w:t>
      </w:r>
      <w:bookmarkStart w:id="0" w:name="_GoBack"/>
      <w:bookmarkEnd w:id="0"/>
      <w:r w:rsidR="004E79CC" w:rsidRPr="005D14C3">
        <w:rPr>
          <w:i/>
        </w:rPr>
        <w:t>diesem Moment an</w:t>
      </w:r>
      <w:r w:rsidR="004E79CC">
        <w:t xml:space="preserve"> </w:t>
      </w:r>
      <w:r w:rsidRPr="00FF486D">
        <w:t xml:space="preserve">‘from </w:t>
      </w:r>
      <w:r w:rsidR="004E79CC">
        <w:t>this moment</w:t>
      </w:r>
      <w:r w:rsidRPr="00FF486D">
        <w:t xml:space="preserve"> on’ with </w:t>
      </w:r>
      <w:r w:rsidR="003B5C7F">
        <w:t>the</w:t>
      </w:r>
      <w:r w:rsidRPr="00FF486D">
        <w:t xml:space="preserve"> dative </w:t>
      </w:r>
      <w:r w:rsidR="00A54B5A" w:rsidRPr="00A54B5A">
        <w:rPr>
          <w:i/>
        </w:rPr>
        <w:t>diese</w:t>
      </w:r>
      <w:r w:rsidR="003B5C7F">
        <w:rPr>
          <w:i/>
        </w:rPr>
        <w:t>m</w:t>
      </w:r>
      <w:r w:rsidR="00A54B5A" w:rsidRPr="00A54B5A">
        <w:rPr>
          <w:i/>
        </w:rPr>
        <w:t xml:space="preserve"> Moment</w:t>
      </w:r>
      <w:r w:rsidR="00A54B5A">
        <w:t xml:space="preserve"> </w:t>
      </w:r>
      <w:r w:rsidRPr="00FF486D">
        <w:t xml:space="preserve">governed by the preposition </w:t>
      </w:r>
      <w:r w:rsidRPr="00FF486D">
        <w:rPr>
          <w:i/>
        </w:rPr>
        <w:t>von</w:t>
      </w:r>
      <w:r w:rsidRPr="00FF486D">
        <w:t xml:space="preserve"> and </w:t>
      </w:r>
      <w:r w:rsidRPr="00FF486D">
        <w:rPr>
          <w:i/>
        </w:rPr>
        <w:t>an</w:t>
      </w:r>
      <w:r w:rsidRPr="00FF486D">
        <w:t xml:space="preserve"> as a former verb particle).</w:t>
      </w:r>
    </w:p>
    <w:p w14:paraId="2C9F4545" w14:textId="77777777" w:rsidR="00AB181E" w:rsidRDefault="000B024D">
      <w:r w:rsidRPr="000B024D">
        <w:t>This presentation will first focus on how both classes of circumpositions reflect basic typological features of German. On the one hand, it will be shown that the diachronic rise of N-circumpositions is substantially embedded in the dependent-marking architecture of German possessive phrases (cf. Nichols 1986</w:t>
      </w:r>
      <w:r w:rsidR="001F56AC">
        <w:t>;</w:t>
      </w:r>
      <w:r w:rsidRPr="000B024D">
        <w:t xml:space="preserve"> Helmbrecht 2001; </w:t>
      </w:r>
      <w:r w:rsidRPr="00FD7F46">
        <w:t>the possessive genitive on dependent possessor nouns was reanalyzed as an adpositional genitive</w:t>
      </w:r>
      <w:r w:rsidRPr="000B024D">
        <w:t>). On the other hand, A-circumpositions arose essentially from the “satellite-framed” and “bracket-forming” architecture of German verbs and verbal phrases (cf. Ronneberger-Sibold</w:t>
      </w:r>
      <w:r w:rsidR="002157E2">
        <w:t>;</w:t>
      </w:r>
      <w:r w:rsidRPr="000B024D">
        <w:t xml:space="preserve"> Talmy 1991</w:t>
      </w:r>
      <w:r w:rsidR="002157E2">
        <w:t>;</w:t>
      </w:r>
      <w:r w:rsidRPr="000B024D">
        <w:t xml:space="preserve"> Slobin 2004; their heads are taken from the rich domain of syntactically detachable German verb particles as path-expressing “satellites”). After that, the presentation will address some differences between German circumpositions and circumpositions in other Germanic and non-Germanic languages. In particular, the presentation will try to explain from a typological and diachronic point of view why German has noticeably more A-circumpositions than many other Germanic languages (cf. present-day English, for instance, which is largely restricted to </w:t>
      </w:r>
      <w:r w:rsidRPr="001C7396">
        <w:rPr>
          <w:i/>
        </w:rPr>
        <w:t>from</w:t>
      </w:r>
      <w:r w:rsidRPr="000B024D">
        <w:t xml:space="preserve"> – </w:t>
      </w:r>
      <w:r w:rsidRPr="001C7396">
        <w:rPr>
          <w:i/>
        </w:rPr>
        <w:t>on</w:t>
      </w:r>
      <w:r w:rsidRPr="000B024D">
        <w:t>(</w:t>
      </w:r>
      <w:r w:rsidRPr="001C7396">
        <w:rPr>
          <w:i/>
        </w:rPr>
        <w:t>wards</w:t>
      </w:r>
      <w:r w:rsidRPr="000B024D">
        <w:t xml:space="preserve">), </w:t>
      </w:r>
      <w:r w:rsidRPr="001C7396">
        <w:rPr>
          <w:i/>
        </w:rPr>
        <w:t>from</w:t>
      </w:r>
      <w:r w:rsidRPr="000B024D">
        <w:t xml:space="preserve"> – </w:t>
      </w:r>
      <w:r w:rsidRPr="001C7396">
        <w:rPr>
          <w:i/>
        </w:rPr>
        <w:t>down</w:t>
      </w:r>
      <w:r w:rsidRPr="000B024D">
        <w:t>(</w:t>
      </w:r>
      <w:r w:rsidRPr="001C7396">
        <w:rPr>
          <w:i/>
        </w:rPr>
        <w:t>wards</w:t>
      </w:r>
      <w:r w:rsidRPr="000B024D">
        <w:t xml:space="preserve">) and </w:t>
      </w:r>
      <w:r w:rsidRPr="001C7396">
        <w:rPr>
          <w:i/>
        </w:rPr>
        <w:t>from</w:t>
      </w:r>
      <w:r w:rsidRPr="000B024D">
        <w:t xml:space="preserve"> – </w:t>
      </w:r>
      <w:r w:rsidRPr="001C7396">
        <w:rPr>
          <w:i/>
        </w:rPr>
        <w:t>up</w:t>
      </w:r>
      <w:r w:rsidRPr="000B024D">
        <w:t>(</w:t>
      </w:r>
      <w:r w:rsidRPr="001C7396">
        <w:rPr>
          <w:i/>
        </w:rPr>
        <w:t>wards</w:t>
      </w:r>
      <w:r w:rsidRPr="000B024D">
        <w:t>)), and why German has no spatial N-circumpositions, while the grammaticalization of spatial N-circumpositions can be observed in some non-Indogermanic languages such as Ewe (cf. Greenberg 1980</w:t>
      </w:r>
      <w:r w:rsidR="001C7396">
        <w:t>;</w:t>
      </w:r>
      <w:r w:rsidRPr="000B024D">
        <w:t xml:space="preserve"> Heine/Claudi/Hünnemeyer 1991</w:t>
      </w:r>
      <w:r w:rsidR="001C7396">
        <w:t>;</w:t>
      </w:r>
      <w:r w:rsidRPr="000B024D">
        <w:t xml:space="preserve"> Ameka/Essegbey 2006</w:t>
      </w:r>
      <w:r w:rsidR="001C7396">
        <w:t>;</w:t>
      </w:r>
      <w:r w:rsidRPr="000B024D">
        <w:t xml:space="preserve"> Wälchli/Zúñiga 2006).</w:t>
      </w:r>
    </w:p>
    <w:p w14:paraId="75313FCE" w14:textId="77777777" w:rsidR="00AB181E" w:rsidRDefault="00CE1829">
      <w:r w:rsidRPr="00CE1829">
        <w:t>The presentation is based on extensive corpus-based research on spoken and written German circumpositions both from a synchronic and a diachronic point of view. The examples from other Germanic and non-Germanic languages are taken from reference grammars and from corpus-based linguistic studies.</w:t>
      </w:r>
    </w:p>
    <w:p w14:paraId="7D69B692" w14:textId="77777777" w:rsidR="00AB181E" w:rsidRDefault="00224AA6">
      <w:pPr>
        <w:pStyle w:val="Rechtsgrundlagenverzeichnis"/>
      </w:pPr>
      <w:r>
        <w:lastRenderedPageBreak/>
        <w:t>References</w:t>
      </w:r>
    </w:p>
    <w:p w14:paraId="5B8DFF3D" w14:textId="77777777" w:rsidR="00B952B6" w:rsidRPr="00B952B6" w:rsidRDefault="00B952B6" w:rsidP="00B952B6">
      <w:pPr>
        <w:pStyle w:val="Literaturverzeichnis1"/>
        <w:ind w:left="397" w:hanging="397"/>
        <w:rPr>
          <w:lang w:val="de-DE"/>
        </w:rPr>
      </w:pPr>
      <w:r>
        <w:t xml:space="preserve">Ameka, Felix K./Essegbey, James (2006): Elements of the grammar of space in Ewe. In: Levinson, Stephen C./Wilkins, David (eds.): Grammars of space. </w:t>
      </w:r>
      <w:r w:rsidRPr="00B952B6">
        <w:rPr>
          <w:lang w:val="de-DE"/>
        </w:rPr>
        <w:t>Explorations in cognitive diversity. Cambridge: Cambridge University Press, pp. 359–399.</w:t>
      </w:r>
    </w:p>
    <w:p w14:paraId="7185BF44" w14:textId="77777777" w:rsidR="00B952B6" w:rsidRPr="00B952B6" w:rsidRDefault="00B952B6" w:rsidP="00B952B6">
      <w:pPr>
        <w:pStyle w:val="Literaturverzeichnis1"/>
        <w:ind w:left="397" w:hanging="397"/>
        <w:rPr>
          <w:lang w:val="de-DE"/>
        </w:rPr>
      </w:pPr>
      <w:r w:rsidRPr="00B952B6">
        <w:rPr>
          <w:lang w:val="de-DE"/>
        </w:rPr>
        <w:t>Bücker, Jörg (2022): Die Zirkumpositionen des Deutschen. System, Entstehung und typologische Einordnung. Unveröffentlichte Habilitationsschrift, Heinrich-Heine-Universität Düsseldorf.</w:t>
      </w:r>
    </w:p>
    <w:p w14:paraId="33079A6D" w14:textId="77777777" w:rsidR="00B952B6" w:rsidRDefault="00B952B6" w:rsidP="00B952B6">
      <w:pPr>
        <w:pStyle w:val="Literaturverzeichnis1"/>
        <w:ind w:left="397" w:hanging="397"/>
      </w:pPr>
      <w:r w:rsidRPr="00B952B6">
        <w:rPr>
          <w:lang w:val="de-DE"/>
        </w:rPr>
        <w:t xml:space="preserve">Greenberg, Joseph H. (1980): Circumfixes and typological change. </w:t>
      </w:r>
      <w:r>
        <w:t>In: Closs Traugott, Elizabeth/Labrum, Rebecca/Shepherd, Susan (eds.): Papers from the 4th International Conference on Historical Linguistics, Stanford, March 26–30 1979. Amsterdam: Benjamins, pp. 233–241.</w:t>
      </w:r>
    </w:p>
    <w:p w14:paraId="45BC11DA" w14:textId="77777777" w:rsidR="00B952B6" w:rsidRDefault="00B952B6" w:rsidP="00B952B6">
      <w:pPr>
        <w:pStyle w:val="Literaturverzeichnis1"/>
        <w:ind w:left="397" w:hanging="397"/>
      </w:pPr>
      <w:r>
        <w:t>Heine, Bernd/Claudi, Ulrike/Hünnemeyer, Friederike (1991): Grammaticalization. A conceptual framework. Chicago/London: Chicago University Press.</w:t>
      </w:r>
    </w:p>
    <w:p w14:paraId="5B05B242" w14:textId="77777777" w:rsidR="00B952B6" w:rsidRDefault="00B952B6" w:rsidP="00B952B6">
      <w:pPr>
        <w:pStyle w:val="Literaturverzeichnis1"/>
        <w:ind w:left="397" w:hanging="397"/>
      </w:pPr>
      <w:r>
        <w:t>Helmbrecht, Johannes (2001): Head-marking vs. dependent-marking languages. In: Haspelmath, Martin/König, Ekkehard/Oesterreicher, Wulf/Raible, Wolfgang (eds.): Language typology and language universals. An international handbook. Volume 2. Berlin/New York: de Gruyter, pp. 1424–1432.</w:t>
      </w:r>
    </w:p>
    <w:p w14:paraId="0494748F" w14:textId="77777777" w:rsidR="00B952B6" w:rsidRPr="00B952B6" w:rsidRDefault="00B952B6" w:rsidP="00B952B6">
      <w:pPr>
        <w:pStyle w:val="Literaturverzeichnis1"/>
        <w:ind w:left="397" w:hanging="397"/>
        <w:rPr>
          <w:lang w:val="de-DE"/>
        </w:rPr>
      </w:pPr>
      <w:r>
        <w:t xml:space="preserve">Nichols, Johanna (1986): Head-marking and dependent-marking grammar. </w:t>
      </w:r>
      <w:r w:rsidRPr="00B952B6">
        <w:rPr>
          <w:lang w:val="de-DE"/>
        </w:rPr>
        <w:t>In: Language 62(1), pp. 56–119.</w:t>
      </w:r>
    </w:p>
    <w:p w14:paraId="4E48389D" w14:textId="77777777" w:rsidR="00B952B6" w:rsidRDefault="00B952B6" w:rsidP="00B952B6">
      <w:pPr>
        <w:pStyle w:val="Literaturverzeichnis1"/>
        <w:ind w:left="397" w:hanging="397"/>
      </w:pPr>
      <w:r w:rsidRPr="00B952B6">
        <w:rPr>
          <w:lang w:val="de-DE"/>
        </w:rPr>
        <w:t xml:space="preserve">Ronneberger-Sibold, Elke (1991): Funktionale Betrachtungen zu Diskontinuität und Klammerbildung im Deutschen. In: Boretzky, Norbert/Bassarak, Armin (eds.): Sprachwandel und seine Prinzipien. Beiträge zum 8. Bochum-Essener Kolloquium über „Sprachwandel und seine Prinzipien“ vom 19.10. – 21.10.1990 an der Ruhruniversität Bochum. </w:t>
      </w:r>
      <w:r>
        <w:t>Bochum: Brockmeyer, pp. 206–236.</w:t>
      </w:r>
    </w:p>
    <w:p w14:paraId="43B0AE62" w14:textId="77777777" w:rsidR="00B952B6" w:rsidRDefault="00B952B6" w:rsidP="00B952B6">
      <w:pPr>
        <w:pStyle w:val="Literaturverzeichnis1"/>
        <w:ind w:left="397" w:hanging="397"/>
      </w:pPr>
      <w:r>
        <w:t>Slobin, Dan I. (2004): The many ways to search for a frog. Linguistic typology and the expression of motion events. In: Strömqvist, Sven/Verhoeven, Ludo (eds.): Relating events in narrative, volume 2: Typological and contextual perspectives. Mahwah: Lawrence Erlbaum, pp. 219–257.</w:t>
      </w:r>
    </w:p>
    <w:p w14:paraId="6C1ECD26" w14:textId="77777777" w:rsidR="00B952B6" w:rsidRDefault="00B952B6" w:rsidP="00B952B6">
      <w:pPr>
        <w:pStyle w:val="Literaturverzeichnis1"/>
        <w:ind w:left="397" w:hanging="397"/>
      </w:pPr>
      <w:r>
        <w:t>Talmy, Leonard (1991): Path to realization. A typology of event conflation. In: Proceedings of the Seventeenth Annual Meeting of the Berkeley Linguistics Society, pp. 480–519.</w:t>
      </w:r>
    </w:p>
    <w:p w14:paraId="74B12C0E" w14:textId="77777777" w:rsidR="00AB181E" w:rsidRDefault="00B952B6" w:rsidP="00B952B6">
      <w:pPr>
        <w:pStyle w:val="Literaturverzeichnis1"/>
        <w:ind w:left="397" w:hanging="397"/>
      </w:pPr>
      <w:r>
        <w:t>Wälchli, Bernhard/Zúñiga, Fernando (2006): Source-Goal (in)difference and the typology of motion events in the clause. In: Language Typology and Universals 59(3), pp. 284–303.</w:t>
      </w:r>
    </w:p>
    <w:p w14:paraId="4BF3FBAA" w14:textId="77777777" w:rsidR="00AB181E" w:rsidRDefault="00224AA6">
      <w:pPr>
        <w:pStyle w:val="berschrift1"/>
      </w:pPr>
      <w:r>
        <w:t>Contact information</w:t>
      </w:r>
    </w:p>
    <w:p w14:paraId="6A0A75DB" w14:textId="77777777" w:rsidR="00AB181E" w:rsidRPr="003312AA" w:rsidRDefault="003312AA">
      <w:pPr>
        <w:rPr>
          <w:lang w:val="de-DE"/>
        </w:rPr>
      </w:pPr>
      <w:r>
        <w:rPr>
          <w:rStyle w:val="Fett"/>
          <w:lang w:val="de-DE"/>
        </w:rPr>
        <w:t>Jörg Bücker</w:t>
      </w:r>
    </w:p>
    <w:p w14:paraId="2E584F3E" w14:textId="77777777" w:rsidR="00AB181E" w:rsidRPr="003312AA" w:rsidRDefault="00FC1F8F">
      <w:pPr>
        <w:rPr>
          <w:lang w:val="de-DE"/>
        </w:rPr>
      </w:pPr>
      <w:r w:rsidRPr="00FC1F8F">
        <w:rPr>
          <w:lang w:val="de-DE"/>
        </w:rPr>
        <w:t>Heinrich-Heine-Universität Düsseldorf</w:t>
      </w:r>
    </w:p>
    <w:p w14:paraId="0CE4BA98" w14:textId="77777777" w:rsidR="00AB181E" w:rsidRPr="003312AA" w:rsidRDefault="00FC1F8F" w:rsidP="00836294">
      <w:pPr>
        <w:rPr>
          <w:lang w:val="de-DE"/>
        </w:rPr>
      </w:pPr>
      <w:hyperlink r:id="rId7" w:history="1">
        <w:r w:rsidRPr="0095714F">
          <w:rPr>
            <w:rStyle w:val="Hyperlink"/>
            <w:lang w:val="de-DE"/>
          </w:rPr>
          <w:t>jbuecker@phil.hhu.de</w:t>
        </w:r>
      </w:hyperlink>
    </w:p>
    <w:sectPr w:rsidR="00AB181E" w:rsidRPr="003312AA">
      <w:headerReference w:type="default" r:id="rId8"/>
      <w:footerReference w:type="default" r:id="rId9"/>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F49AD" w14:textId="77777777" w:rsidR="004C4CD9" w:rsidRDefault="004C4CD9">
      <w:pPr>
        <w:spacing w:before="0" w:line="240" w:lineRule="auto"/>
      </w:pPr>
      <w:r>
        <w:separator/>
      </w:r>
    </w:p>
  </w:endnote>
  <w:endnote w:type="continuationSeparator" w:id="0">
    <w:p w14:paraId="2FE7BA3D" w14:textId="77777777" w:rsidR="004C4CD9" w:rsidRDefault="004C4CD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B2590D52-DFB3-46E7-A8E5-6FE4C0A270C9}"/>
    <w:embedBold r:id="rId2" w:fontKey="{7E0C14B7-29EB-47D4-993C-3B90790858FA}"/>
    <w:embedItalic r:id="rId3" w:fontKey="{7A7F187A-0261-47FD-80C9-9C0821BCAA30}"/>
  </w:font>
  <w:font w:name="Tahoma">
    <w:panose1 w:val="020B0604030504040204"/>
    <w:charset w:val="00"/>
    <w:family w:val="swiss"/>
    <w:pitch w:val="variable"/>
    <w:sig w:usb0="E1002EFF" w:usb1="C000605B" w:usb2="00000029" w:usb3="00000000" w:csb0="000101FF" w:csb1="00000000"/>
    <w:embedRegular r:id="rId4" w:fontKey="{8281C7DF-9EED-440A-B367-17966623B10E}"/>
    <w:embedBold r:id="rId5" w:fontKey="{705A70C3-0AB2-4475-90C4-5C77B4878604}"/>
    <w:embedItalic r:id="rId6" w:fontKey="{D08AB6A3-242D-4BCE-B4F2-30996235438F}"/>
  </w:font>
  <w:font w:name="Libertinus Serif">
    <w:altName w:val="Calibri"/>
    <w:panose1 w:val="00000000000000000000"/>
    <w:charset w:val="00"/>
    <w:family w:val="modern"/>
    <w:notTrueType/>
    <w:pitch w:val="variable"/>
    <w:sig w:usb0="E0000AFF" w:usb1="0200E5FB" w:usb2="01000020" w:usb3="00000000" w:csb0="000001BF" w:csb1="00000000"/>
  </w:font>
  <w:font w:name="Fira Sans">
    <w:altName w:val="Calibri"/>
    <w:panose1 w:val="00000000000000000000"/>
    <w:charset w:val="00"/>
    <w:family w:val="swiss"/>
    <w:notTrueType/>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7" w:fontKey="{AD47BF9A-DAFE-4261-BAFB-A2CF414A257B}"/>
  </w:font>
  <w:font w:name="Liberation Sans">
    <w:altName w:val="Arial"/>
    <w:charset w:val="00"/>
    <w:family w:val="swiss"/>
    <w:pitch w:val="variable"/>
    <w:sig w:usb0="E0000AFF" w:usb1="500078FF" w:usb2="00000021" w:usb3="00000000" w:csb0="000001BF" w:csb1="00000000"/>
    <w:embedBold r:id="rId8" w:fontKey="{5E73B0DF-61A1-4F93-8FC6-5C31FE19249F}"/>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9" w:fontKey="{0D709F1A-C47C-47A8-AAFB-8FA98834E4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940EF" w14:textId="77777777"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4C5262">
      <w:rPr>
        <w:rStyle w:val="Seitenzahl"/>
        <w:rFonts w:cs="Libertinus Serif"/>
        <w:noProof/>
      </w:rPr>
      <w:t>3</w:t>
    </w:r>
    <w:r>
      <w:rPr>
        <w:rStyle w:val="Seitenzahl"/>
        <w:rFonts w:cs="Libertinus Serif"/>
      </w:rPr>
      <w:fldChar w:fldCharType="end"/>
    </w:r>
  </w:p>
  <w:p w14:paraId="3FECF9A7" w14:textId="77777777" w:rsidR="00AB181E" w:rsidRDefault="00AB181E">
    <w:pPr>
      <w:pStyle w:val="Fuzeile"/>
    </w:pPr>
  </w:p>
  <w:p w14:paraId="01324A92"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C6759F" w14:textId="77777777" w:rsidR="004C4CD9" w:rsidRDefault="004C4CD9">
      <w:pPr>
        <w:rPr>
          <w:sz w:val="12"/>
        </w:rPr>
      </w:pPr>
      <w:r>
        <w:separator/>
      </w:r>
    </w:p>
  </w:footnote>
  <w:footnote w:type="continuationSeparator" w:id="0">
    <w:p w14:paraId="109F7863" w14:textId="77777777" w:rsidR="004C4CD9" w:rsidRDefault="004C4CD9">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43034" w14:textId="77777777" w:rsidR="00AB181E" w:rsidRDefault="00224AA6">
    <w:pPr>
      <w:pStyle w:val="Kopfzeile"/>
    </w:pPr>
    <w:r>
      <w:t>ICLC-10 2023 - Document Template for Revised Abstract</w:t>
    </w:r>
    <w:r>
      <w:rPr>
        <w:lang w:val="en-US"/>
      </w:rPr>
      <w:t>s</w:t>
    </w:r>
  </w:p>
  <w:p w14:paraId="0DDA1A0E"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22D6D"/>
    <w:rsid w:val="00043867"/>
    <w:rsid w:val="000B024D"/>
    <w:rsid w:val="000F11EC"/>
    <w:rsid w:val="00116FD8"/>
    <w:rsid w:val="001261F1"/>
    <w:rsid w:val="001C7396"/>
    <w:rsid w:val="001F56AC"/>
    <w:rsid w:val="002157E2"/>
    <w:rsid w:val="00224AA6"/>
    <w:rsid w:val="00227DE7"/>
    <w:rsid w:val="00227F60"/>
    <w:rsid w:val="00286C88"/>
    <w:rsid w:val="003312AA"/>
    <w:rsid w:val="0039337E"/>
    <w:rsid w:val="003B5C7F"/>
    <w:rsid w:val="00434672"/>
    <w:rsid w:val="0049102B"/>
    <w:rsid w:val="004C4CD9"/>
    <w:rsid w:val="004C5262"/>
    <w:rsid w:val="004E79CC"/>
    <w:rsid w:val="00562936"/>
    <w:rsid w:val="005D14C3"/>
    <w:rsid w:val="00694682"/>
    <w:rsid w:val="006A51EC"/>
    <w:rsid w:val="006D3720"/>
    <w:rsid w:val="00717483"/>
    <w:rsid w:val="00836294"/>
    <w:rsid w:val="008D65C0"/>
    <w:rsid w:val="009D4AD9"/>
    <w:rsid w:val="00A54B5A"/>
    <w:rsid w:val="00A54BA3"/>
    <w:rsid w:val="00AB181E"/>
    <w:rsid w:val="00AE6E18"/>
    <w:rsid w:val="00AF2BF2"/>
    <w:rsid w:val="00AF65D5"/>
    <w:rsid w:val="00B22F8E"/>
    <w:rsid w:val="00B952B6"/>
    <w:rsid w:val="00BD0B80"/>
    <w:rsid w:val="00BD2368"/>
    <w:rsid w:val="00C425D1"/>
    <w:rsid w:val="00CE1829"/>
    <w:rsid w:val="00DB1137"/>
    <w:rsid w:val="00DC7D37"/>
    <w:rsid w:val="00E16C95"/>
    <w:rsid w:val="00E431B2"/>
    <w:rsid w:val="00F47A0D"/>
    <w:rsid w:val="00FC1F8F"/>
    <w:rsid w:val="00FD7F46"/>
    <w:rsid w:val="00FF30E4"/>
    <w:rsid w:val="00FF48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27230"/>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 w:type="character" w:styleId="NichtaufgelsteErwhnung">
    <w:name w:val="Unresolved Mention"/>
    <w:basedOn w:val="Absatz-Standardschriftart"/>
    <w:uiPriority w:val="99"/>
    <w:semiHidden/>
    <w:unhideWhenUsed/>
    <w:rsid w:val="00FC1F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buecker@phil.hhu.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723</Words>
  <Characters>4558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Jörg Bücker</cp:lastModifiedBy>
  <cp:revision>41</cp:revision>
  <cp:lastPrinted>2023-05-05T16:52:00Z</cp:lastPrinted>
  <dcterms:created xsi:type="dcterms:W3CDTF">2023-03-12T06:57:00Z</dcterms:created>
  <dcterms:modified xsi:type="dcterms:W3CDTF">2023-05-05T16:55:00Z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