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460EF" w14:textId="79D1B52F" w:rsidR="00AB181E" w:rsidRDefault="00601658">
      <w:pPr>
        <w:pStyle w:val="Author"/>
      </w:pPr>
      <w:r>
        <w:t xml:space="preserve">Irina Pavlova, Anna Wilson, </w:t>
      </w:r>
      <w:r w:rsidRPr="00601658">
        <w:t xml:space="preserve">Megi </w:t>
      </w:r>
      <w:proofErr w:type="spellStart"/>
      <w:r w:rsidRPr="00601658">
        <w:t>Kartsivadze</w:t>
      </w:r>
      <w:proofErr w:type="spellEnd"/>
      <w:r>
        <w:t xml:space="preserve">, </w:t>
      </w:r>
      <w:proofErr w:type="spellStart"/>
      <w:r w:rsidRPr="00601658">
        <w:t>Maka</w:t>
      </w:r>
      <w:proofErr w:type="spellEnd"/>
      <w:r w:rsidRPr="00601658">
        <w:t xml:space="preserve"> </w:t>
      </w:r>
      <w:proofErr w:type="spellStart"/>
      <w:r w:rsidRPr="00601658">
        <w:t>Tetradze</w:t>
      </w:r>
      <w:proofErr w:type="spellEnd"/>
    </w:p>
    <w:p w14:paraId="22375923" w14:textId="30EEAA2D" w:rsidR="00AB181E" w:rsidRDefault="00601658">
      <w:pPr>
        <w:pStyle w:val="Title"/>
      </w:pPr>
      <w:r w:rsidRPr="00601658">
        <w:t>Comparative Analysis of Conceptualisations of the Future in English, Russian and Georgian: Speech and Co-Speech Hand Gesture</w:t>
      </w:r>
    </w:p>
    <w:p w14:paraId="3FD6849F" w14:textId="467D78CC" w:rsidR="00AB181E" w:rsidRDefault="00224AA6">
      <w:pPr>
        <w:pStyle w:val="Keywords"/>
        <w:jc w:val="left"/>
      </w:pPr>
      <w:r>
        <w:rPr>
          <w:b/>
          <w:szCs w:val="20"/>
        </w:rPr>
        <w:t>Keywords:</w:t>
      </w:r>
      <w:r>
        <w:rPr>
          <w:szCs w:val="20"/>
        </w:rPr>
        <w:t xml:space="preserve"> </w:t>
      </w:r>
      <w:r w:rsidR="00601658">
        <w:rPr>
          <w:szCs w:val="20"/>
        </w:rPr>
        <w:t>comparative analysis; gesture studies; corpus linguistics; multimodal analysis</w:t>
      </w:r>
    </w:p>
    <w:p w14:paraId="656AD294" w14:textId="62981FED" w:rsidR="00AB181E" w:rsidRDefault="00601658">
      <w:r w:rsidRPr="00601658">
        <w:t>The conceptual metaphor TIME AS SPACE has been shown to be at work across many languages (</w:t>
      </w:r>
      <w:proofErr w:type="spellStart"/>
      <w:r w:rsidRPr="00601658">
        <w:t>Haspelmath</w:t>
      </w:r>
      <w:proofErr w:type="spellEnd"/>
      <w:r w:rsidRPr="00601658">
        <w:t xml:space="preserve"> 1997; </w:t>
      </w:r>
      <w:proofErr w:type="spellStart"/>
      <w:r w:rsidRPr="00601658">
        <w:t>Radden</w:t>
      </w:r>
      <w:proofErr w:type="spellEnd"/>
      <w:r w:rsidRPr="00601658">
        <w:t xml:space="preserve"> 2003). Related research on temporal co-speech gestures has been done in experimental psychology, </w:t>
      </w:r>
      <w:proofErr w:type="gramStart"/>
      <w:r w:rsidRPr="00601658">
        <w:t>anthropology</w:t>
      </w:r>
      <w:proofErr w:type="gramEnd"/>
      <w:r w:rsidRPr="00601658">
        <w:t xml:space="preserve"> and corpus linguistics, but we still need to better appreciate universal and culture-specific nature of relations between speech and temporal gestures (</w:t>
      </w:r>
      <w:proofErr w:type="spellStart"/>
      <w:r w:rsidRPr="00601658">
        <w:t>Cooperrider</w:t>
      </w:r>
      <w:proofErr w:type="spellEnd"/>
      <w:r w:rsidRPr="00601658">
        <w:t xml:space="preserve"> et al. 2014). Our paper contributes to this scholarship by comparing future conceptualisations in English, Russian and Georgian. More specifically it investigates similarities and differences in linear conceptualisations of the future in oral communication in these languages by focusing on speech and co-speech hand gesture using a corpus-driven analysis of ecologically valid media data. There have been recent corpus studies done on temporal co-speech gestures using media data in English (Valenzuela et al. 2020) and in Russian (</w:t>
      </w:r>
      <w:proofErr w:type="spellStart"/>
      <w:r w:rsidRPr="00601658">
        <w:t>Grishina</w:t>
      </w:r>
      <w:proofErr w:type="spellEnd"/>
      <w:r w:rsidRPr="00601658">
        <w:t xml:space="preserve"> 2017). But to the best of our knowledge, there have not been any studies done on temporal co-speech gestures in Georgian or indeed no comparative analysis performed on future conceptualisations via co-speech gesture in oral communication in these three languages.</w:t>
      </w:r>
    </w:p>
    <w:p w14:paraId="59A78CC0" w14:textId="2BDE26E3" w:rsidR="00AB181E" w:rsidRDefault="00601658">
      <w:r w:rsidRPr="00601658">
        <w:t xml:space="preserve">As a first step we researched depictions of the future engaging empirically in data-driven analysis of video snippets, each 4 seconds long from </w:t>
      </w:r>
      <w:proofErr w:type="gramStart"/>
      <w:r w:rsidRPr="00601658">
        <w:t>a number of</w:t>
      </w:r>
      <w:proofErr w:type="gramEnd"/>
      <w:r w:rsidRPr="00601658">
        <w:t xml:space="preserve"> TV talk-shows in English and Russian. Those were selected based on corpus searches for ‘auxiliary verb ‘will’ + hands visible’ for English and ‘imperfective/perfective future + hands visible’ for Russian and subsequent manual annotation in ELAN and Rapid Annotator. Only manual search of Georgian data and subsequent annotation in ELAN was possible due to the lack of NLP tools for it. At least two coders annotated all data for speech and co-speech gestural units marking future. Six categories of speech units were identified which mark future contextually in the analysed video data for all three languages: 1) verbs in the future tense; 2) conditional clauses and counterfactuals; 3) modal verbs; 4) time expressions, including future expression, and expressions and adverbs marking future in the context; 5) verbs in the present tense with future references; 6) words with ‘future’ semantics.</w:t>
      </w:r>
    </w:p>
    <w:p w14:paraId="5FD6C1B6" w14:textId="77777777" w:rsidR="005F3DE0" w:rsidRDefault="005F3DE0" w:rsidP="005F3DE0">
      <w:r>
        <w:t xml:space="preserve">We analysed: 138 speech and 231 gestural units for English; 54 speech and 65 gestural units for Russian, and 68 speech and 90 gestural units for Georgian. </w:t>
      </w:r>
      <w:proofErr w:type="gramStart"/>
      <w:r>
        <w:t>The majority of</w:t>
      </w:r>
      <w:proofErr w:type="gramEnd"/>
      <w:r>
        <w:t xml:space="preserve"> analysed instances were produced by one host with the assumption that her multilingualism did not influence the way she conceptualised the future in communication in a specific language (including gesture) (see Azar, Backus, </w:t>
      </w:r>
      <w:proofErr w:type="spellStart"/>
      <w:r>
        <w:t>Özyürek</w:t>
      </w:r>
      <w:proofErr w:type="spellEnd"/>
      <w:r>
        <w:t>, 2020). Nevertheless, we performed small-scale comparisons using speech-gesture occurrences by other hosts (native speakers of languages under study) to check for potential interference between languages.</w:t>
      </w:r>
    </w:p>
    <w:p w14:paraId="4CD23B75" w14:textId="77777777" w:rsidR="005F3DE0" w:rsidRDefault="005F3DE0" w:rsidP="005F3DE0">
      <w:r>
        <w:lastRenderedPageBreak/>
        <w:t xml:space="preserve">Our comparative analysis focused on the parameters of axis, </w:t>
      </w:r>
      <w:proofErr w:type="gramStart"/>
      <w:r>
        <w:t>direction</w:t>
      </w:r>
      <w:proofErr w:type="gramEnd"/>
      <w:r>
        <w:t xml:space="preserve"> and orientation of hand gesture co-occurring with speech ‘future’ units from the above-mentioned 6 categories. On these parameters it revealed no difference in how English, Russian, or Georgian speakers use co-speech temporal hand gestures in oral communication in TV shows. A particular gestural trait marking the future was found to be common to all three languages. We view this as a significant observation since English and Russian belong to different language groups and Georgian, unlike English and Russian, does not belong to the Indo-European language family.</w:t>
      </w:r>
    </w:p>
    <w:p w14:paraId="49BE315A" w14:textId="383FD743" w:rsidR="00AB181E" w:rsidRDefault="005F3DE0" w:rsidP="005F3DE0">
      <w:r>
        <w:t>The datasets we developed for this study will be made available with our paper once it is published.</w:t>
      </w:r>
    </w:p>
    <w:p w14:paraId="75212F32" w14:textId="3A0D05EF" w:rsidR="005F3DE0" w:rsidRDefault="005F3DE0">
      <w:pPr>
        <w:pStyle w:val="TableofAuthorities"/>
      </w:pPr>
      <w:r>
        <w:t>Acknowledgements</w:t>
      </w:r>
    </w:p>
    <w:p w14:paraId="2275EC8C" w14:textId="68D18668" w:rsidR="005F3DE0" w:rsidRPr="005F3DE0" w:rsidRDefault="005F3DE0" w:rsidP="005F3DE0">
      <w:pPr>
        <w:rPr>
          <w:lang w:val="en-RU"/>
        </w:rPr>
      </w:pPr>
      <w:r w:rsidRPr="005F3DE0">
        <w:t>This study was made possible thanks to AHRC-DFG research funding.</w:t>
      </w:r>
    </w:p>
    <w:p w14:paraId="5FDEF25C" w14:textId="1A4A38AD" w:rsidR="00AB181E" w:rsidRDefault="00224AA6">
      <w:pPr>
        <w:pStyle w:val="TableofAuthorities"/>
      </w:pPr>
      <w:r>
        <w:t>References</w:t>
      </w:r>
    </w:p>
    <w:p w14:paraId="050ACEC5" w14:textId="77777777" w:rsidR="00B20BB5" w:rsidRDefault="00B20BB5" w:rsidP="00B20BB5">
      <w:pPr>
        <w:pStyle w:val="Literaturverzeichnis1"/>
        <w:ind w:left="397" w:hanging="397"/>
      </w:pPr>
      <w:r>
        <w:t xml:space="preserve">Azar Z, Backus A, </w:t>
      </w:r>
      <w:proofErr w:type="spellStart"/>
      <w:r>
        <w:t>Özyürek</w:t>
      </w:r>
      <w:proofErr w:type="spellEnd"/>
      <w:r>
        <w:t xml:space="preserve"> A (2020). “Language contact does not drive gesture transfer: Heritage speakers maintain language specific gesture patterns in each language.” Bilingualism: Language and Cognition 23, 414–428.</w:t>
      </w:r>
    </w:p>
    <w:p w14:paraId="0AAB011C" w14:textId="77777777" w:rsidR="00B20BB5" w:rsidRDefault="00B20BB5" w:rsidP="00B20BB5">
      <w:pPr>
        <w:pStyle w:val="Literaturverzeichnis1"/>
        <w:ind w:left="397" w:hanging="397"/>
      </w:pPr>
      <w:proofErr w:type="spellStart"/>
      <w:r>
        <w:t>Cooperrider</w:t>
      </w:r>
      <w:proofErr w:type="spellEnd"/>
      <w:r>
        <w:t xml:space="preserve">, </w:t>
      </w:r>
      <w:proofErr w:type="spellStart"/>
      <w:r>
        <w:t>Kensy</w:t>
      </w:r>
      <w:proofErr w:type="spellEnd"/>
      <w:r>
        <w:t xml:space="preserve">, Rafael </w:t>
      </w:r>
      <w:proofErr w:type="spellStart"/>
      <w:r>
        <w:t>Núñez</w:t>
      </w:r>
      <w:proofErr w:type="spellEnd"/>
      <w:r>
        <w:t xml:space="preserve"> &amp; Eve Sweetser (2014). “The conceptualization of time in gesture.” Body-language-communication 2, 1781-1788.</w:t>
      </w:r>
    </w:p>
    <w:p w14:paraId="5D5642B9" w14:textId="77777777" w:rsidR="00B20BB5" w:rsidRDefault="00B20BB5" w:rsidP="00B20BB5">
      <w:pPr>
        <w:pStyle w:val="Literaturverzeichnis1"/>
        <w:ind w:left="397" w:hanging="397"/>
      </w:pPr>
      <w:proofErr w:type="spellStart"/>
      <w:r>
        <w:t>Grishina</w:t>
      </w:r>
      <w:proofErr w:type="spellEnd"/>
      <w:r>
        <w:t xml:space="preserve">, Elena (2017). </w:t>
      </w:r>
      <w:proofErr w:type="spellStart"/>
      <w:r>
        <w:t>Russkaya</w:t>
      </w:r>
      <w:proofErr w:type="spellEnd"/>
      <w:r>
        <w:t xml:space="preserve"> </w:t>
      </w:r>
      <w:proofErr w:type="spellStart"/>
      <w:r>
        <w:t>zhestikulyatsiya</w:t>
      </w:r>
      <w:proofErr w:type="spellEnd"/>
      <w:r>
        <w:t xml:space="preserve"> s </w:t>
      </w:r>
      <w:proofErr w:type="spellStart"/>
      <w:r>
        <w:t>lingvisticheskoi</w:t>
      </w:r>
      <w:proofErr w:type="spellEnd"/>
      <w:r>
        <w:t xml:space="preserve"> </w:t>
      </w:r>
      <w:proofErr w:type="spellStart"/>
      <w:r>
        <w:t>tochki</w:t>
      </w:r>
      <w:proofErr w:type="spellEnd"/>
      <w:r>
        <w:t xml:space="preserve"> </w:t>
      </w:r>
      <w:proofErr w:type="spellStart"/>
      <w:r>
        <w:t>zreniya</w:t>
      </w:r>
      <w:proofErr w:type="spellEnd"/>
      <w:r>
        <w:t xml:space="preserve">. Moscow: </w:t>
      </w:r>
      <w:proofErr w:type="spellStart"/>
      <w:r>
        <w:t>Yazyki</w:t>
      </w:r>
      <w:proofErr w:type="spellEnd"/>
      <w:r>
        <w:t xml:space="preserve"> </w:t>
      </w:r>
      <w:proofErr w:type="spellStart"/>
      <w:r>
        <w:t>slavyanskikh</w:t>
      </w:r>
      <w:proofErr w:type="spellEnd"/>
      <w:r>
        <w:t xml:space="preserve"> </w:t>
      </w:r>
      <w:proofErr w:type="spellStart"/>
      <w:r>
        <w:t>kul’tur</w:t>
      </w:r>
      <w:proofErr w:type="spellEnd"/>
      <w:r>
        <w:t>.</w:t>
      </w:r>
    </w:p>
    <w:p w14:paraId="514A8BD9" w14:textId="77777777" w:rsidR="00B20BB5" w:rsidRDefault="00B20BB5" w:rsidP="00B20BB5">
      <w:pPr>
        <w:pStyle w:val="Literaturverzeichnis1"/>
        <w:ind w:left="397" w:hanging="397"/>
      </w:pPr>
      <w:proofErr w:type="spellStart"/>
      <w:r>
        <w:t>Haspelmath</w:t>
      </w:r>
      <w:proofErr w:type="spellEnd"/>
      <w:r>
        <w:t xml:space="preserve">, Martin (1997). From Space to Time: Temporal Adverbials in the World’s Languages. </w:t>
      </w:r>
      <w:proofErr w:type="spellStart"/>
      <w:r>
        <w:t>München</w:t>
      </w:r>
      <w:proofErr w:type="spellEnd"/>
      <w:r>
        <w:t xml:space="preserve"> – Newcastle: </w:t>
      </w:r>
      <w:proofErr w:type="spellStart"/>
      <w:r>
        <w:t>Lincom</w:t>
      </w:r>
      <w:proofErr w:type="spellEnd"/>
      <w:r>
        <w:t xml:space="preserve"> Europa.</w:t>
      </w:r>
    </w:p>
    <w:p w14:paraId="33E3D91A" w14:textId="77777777" w:rsidR="00B20BB5" w:rsidRDefault="00B20BB5" w:rsidP="00B20BB5">
      <w:pPr>
        <w:pStyle w:val="Literaturverzeichnis1"/>
        <w:ind w:left="397" w:hanging="397"/>
      </w:pPr>
      <w:proofErr w:type="spellStart"/>
      <w:r>
        <w:t>Radden</w:t>
      </w:r>
      <w:proofErr w:type="spellEnd"/>
      <w:r>
        <w:t xml:space="preserve">, Günther (2003). “The metaphor TIME AS SPACE across languages.” </w:t>
      </w:r>
      <w:proofErr w:type="spellStart"/>
      <w:r>
        <w:t>Zeitschrift</w:t>
      </w:r>
      <w:proofErr w:type="spellEnd"/>
      <w:r>
        <w:t xml:space="preserve"> für </w:t>
      </w:r>
      <w:proofErr w:type="spellStart"/>
      <w:r>
        <w:t>interkulturellen</w:t>
      </w:r>
      <w:proofErr w:type="spellEnd"/>
      <w:r>
        <w:t xml:space="preserve"> </w:t>
      </w:r>
      <w:proofErr w:type="spellStart"/>
      <w:r>
        <w:t>Fremdsprachenunterricht</w:t>
      </w:r>
      <w:proofErr w:type="spellEnd"/>
      <w:r>
        <w:t xml:space="preserve"> 8.2/3, 225-239.</w:t>
      </w:r>
    </w:p>
    <w:p w14:paraId="00C3073F" w14:textId="470C890C" w:rsidR="00B20BB5" w:rsidRDefault="00B20BB5" w:rsidP="00B20BB5">
      <w:pPr>
        <w:pStyle w:val="Literaturverzeichnis1"/>
        <w:ind w:left="397" w:hanging="397"/>
      </w:pPr>
      <w:r>
        <w:t xml:space="preserve">Valenzuela, Javier, Cristóbal </w:t>
      </w:r>
      <w:proofErr w:type="spellStart"/>
      <w:r>
        <w:t>Pagán</w:t>
      </w:r>
      <w:proofErr w:type="spellEnd"/>
      <w:r>
        <w:t xml:space="preserve"> </w:t>
      </w:r>
      <w:proofErr w:type="spellStart"/>
      <w:r>
        <w:t>Cánovas</w:t>
      </w:r>
      <w:proofErr w:type="spellEnd"/>
      <w:r>
        <w:t xml:space="preserve">, Inés </w:t>
      </w:r>
      <w:proofErr w:type="spellStart"/>
      <w:r>
        <w:t>Olza</w:t>
      </w:r>
      <w:proofErr w:type="spellEnd"/>
      <w:r>
        <w:t xml:space="preserve"> &amp; Daniel Alcaraz </w:t>
      </w:r>
      <w:proofErr w:type="spellStart"/>
      <w:r>
        <w:t>Carrión</w:t>
      </w:r>
      <w:proofErr w:type="spellEnd"/>
      <w:r>
        <w:t xml:space="preserve"> (2020). “Gesturing in the wild: Evidence for a flexible mental timeline.” Review of Cognitive Linguistics. Published under the auspices of the Spanish Cognitive Linguistics Association 18.2, 289-315.</w:t>
      </w:r>
    </w:p>
    <w:p w14:paraId="63DADAD4" w14:textId="77777777" w:rsidR="00AB181E" w:rsidRDefault="00224AA6">
      <w:pPr>
        <w:pStyle w:val="Heading1"/>
      </w:pPr>
      <w:r>
        <w:t xml:space="preserve">Contact </w:t>
      </w:r>
      <w:proofErr w:type="gramStart"/>
      <w:r>
        <w:t>information</w:t>
      </w:r>
      <w:proofErr w:type="gramEnd"/>
    </w:p>
    <w:p w14:paraId="3B3F007B" w14:textId="180E291A" w:rsidR="00AB181E" w:rsidRDefault="00DB4934">
      <w:r>
        <w:rPr>
          <w:rStyle w:val="Strong"/>
        </w:rPr>
        <w:t>Irina Pavlova</w:t>
      </w:r>
    </w:p>
    <w:p w14:paraId="7B0231F7" w14:textId="4C34DA97" w:rsidR="00AB181E" w:rsidRDefault="00DB4934">
      <w:r>
        <w:t>University of Oxford</w:t>
      </w:r>
    </w:p>
    <w:p w14:paraId="1E43D548" w14:textId="7406D780" w:rsidR="00AB181E" w:rsidRDefault="00DB4934">
      <w:hyperlink r:id="rId7" w:history="1">
        <w:r w:rsidRPr="005F35D0">
          <w:rPr>
            <w:rStyle w:val="Hyperlink"/>
          </w:rPr>
          <w:t>irina.pavlova@area.ox.ac.uk</w:t>
        </w:r>
      </w:hyperlink>
    </w:p>
    <w:p w14:paraId="4DDBD3F6" w14:textId="32497BD3" w:rsidR="00DB4934" w:rsidRPr="00DB4934" w:rsidRDefault="00DB4934">
      <w:pPr>
        <w:rPr>
          <w:b/>
          <w:bCs/>
        </w:rPr>
      </w:pPr>
      <w:r w:rsidRPr="00DB4934">
        <w:rPr>
          <w:b/>
          <w:bCs/>
        </w:rPr>
        <w:t>Anna Wilson</w:t>
      </w:r>
    </w:p>
    <w:p w14:paraId="1108A772" w14:textId="529FDD36" w:rsidR="00DB4934" w:rsidRDefault="00DB4934">
      <w:r>
        <w:t>University of Oxford</w:t>
      </w:r>
    </w:p>
    <w:p w14:paraId="577DBD0B" w14:textId="2D79063C" w:rsidR="00DB4934" w:rsidRDefault="00DB4934">
      <w:hyperlink r:id="rId8" w:history="1">
        <w:r w:rsidRPr="005F35D0">
          <w:rPr>
            <w:rStyle w:val="Hyperlink"/>
          </w:rPr>
          <w:t>anna.wilson@area.ox.ac.uk</w:t>
        </w:r>
      </w:hyperlink>
    </w:p>
    <w:p w14:paraId="005E4F66" w14:textId="2EC4A640" w:rsidR="00DB4934" w:rsidRPr="00DB4934" w:rsidRDefault="00DB4934">
      <w:pPr>
        <w:rPr>
          <w:b/>
          <w:bCs/>
        </w:rPr>
      </w:pPr>
      <w:r w:rsidRPr="00DB4934">
        <w:rPr>
          <w:b/>
          <w:bCs/>
        </w:rPr>
        <w:t xml:space="preserve">Megi </w:t>
      </w:r>
      <w:proofErr w:type="spellStart"/>
      <w:r w:rsidRPr="00DB4934">
        <w:rPr>
          <w:b/>
          <w:bCs/>
        </w:rPr>
        <w:t>Kartsivadze</w:t>
      </w:r>
      <w:proofErr w:type="spellEnd"/>
    </w:p>
    <w:p w14:paraId="03235E62" w14:textId="61794601" w:rsidR="00DB4934" w:rsidRDefault="00DB4934">
      <w:r>
        <w:t>University of Oxford</w:t>
      </w:r>
    </w:p>
    <w:p w14:paraId="2B59EB12" w14:textId="7AE70E66" w:rsidR="00AB181E" w:rsidRDefault="00DB4934" w:rsidP="00DB4934">
      <w:hyperlink r:id="rId9" w:history="1">
        <w:r w:rsidRPr="005F35D0">
          <w:rPr>
            <w:rStyle w:val="Hyperlink"/>
          </w:rPr>
          <w:t>megi.kartsivadze@area.ox.ac.uk</w:t>
        </w:r>
      </w:hyperlink>
    </w:p>
    <w:p w14:paraId="2B49F773" w14:textId="66351DF8" w:rsidR="00DB4934" w:rsidRPr="004E25F0" w:rsidRDefault="00DB4934" w:rsidP="00DB4934">
      <w:pPr>
        <w:rPr>
          <w:b/>
          <w:bCs/>
        </w:rPr>
      </w:pPr>
      <w:proofErr w:type="spellStart"/>
      <w:r w:rsidRPr="004E25F0">
        <w:rPr>
          <w:b/>
          <w:bCs/>
        </w:rPr>
        <w:t>Maka</w:t>
      </w:r>
      <w:proofErr w:type="spellEnd"/>
      <w:r w:rsidRPr="004E25F0">
        <w:rPr>
          <w:b/>
          <w:bCs/>
        </w:rPr>
        <w:t xml:space="preserve"> </w:t>
      </w:r>
      <w:proofErr w:type="spellStart"/>
      <w:r w:rsidRPr="004E25F0">
        <w:rPr>
          <w:b/>
          <w:bCs/>
        </w:rPr>
        <w:t>Tetradze</w:t>
      </w:r>
      <w:proofErr w:type="spellEnd"/>
    </w:p>
    <w:p w14:paraId="0781FE18" w14:textId="7AD8A3C6" w:rsidR="00DB4934" w:rsidRDefault="00DB4934" w:rsidP="00DB4934">
      <w:r>
        <w:lastRenderedPageBreak/>
        <w:t>Tbilisi State University</w:t>
      </w:r>
    </w:p>
    <w:p w14:paraId="2B763621" w14:textId="0C2636A1" w:rsidR="00DB4934" w:rsidRDefault="00DB4934" w:rsidP="00DB4934">
      <w:hyperlink r:id="rId10" w:history="1">
        <w:r w:rsidRPr="005F35D0">
          <w:rPr>
            <w:rStyle w:val="Hyperlink"/>
          </w:rPr>
          <w:t>maka.tetradze@tsu.ge</w:t>
        </w:r>
      </w:hyperlink>
    </w:p>
    <w:p w14:paraId="339BE90E" w14:textId="77777777" w:rsidR="00AB181E" w:rsidRDefault="00AB181E">
      <w:pPr>
        <w:pStyle w:val="Literaturverzeichnis1"/>
        <w:ind w:left="0" w:firstLine="0"/>
      </w:pPr>
    </w:p>
    <w:sectPr w:rsidR="00AB181E">
      <w:footerReference w:type="default" r:id="rId11"/>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49C96" w14:textId="77777777" w:rsidR="0024391B" w:rsidRDefault="0024391B">
      <w:pPr>
        <w:spacing w:before="0" w:line="240" w:lineRule="auto"/>
      </w:pPr>
      <w:r>
        <w:separator/>
      </w:r>
    </w:p>
  </w:endnote>
  <w:endnote w:type="continuationSeparator" w:id="0">
    <w:p w14:paraId="5DB9CCBD" w14:textId="77777777" w:rsidR="0024391B" w:rsidRDefault="0024391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462A0BD1-A997-9C45-98F6-2A41E2A0FC5F}"/>
    <w:embedBold r:id="rId2" w:fontKey="{0CB6D325-86F8-6F42-B813-B081905CA8EE}"/>
  </w:font>
  <w:font w:name="Tahoma">
    <w:panose1 w:val="020B0604030504040204"/>
    <w:charset w:val="00"/>
    <w:family w:val="swiss"/>
    <w:pitch w:val="variable"/>
    <w:sig w:usb0="E1002EFF" w:usb1="C000605B" w:usb2="00000029" w:usb3="00000000" w:csb0="000101FF" w:csb1="00000000"/>
    <w:embedRegular r:id="rId3" w:fontKey="{99BEB08B-1781-3443-8D90-73A12D8CA7F7}"/>
    <w:embedBold r:id="rId4" w:fontKey="{4FE0CE5C-2F1B-CD47-859A-ACF93BF14531}"/>
    <w:embedItalic r:id="rId5" w:fontKey="{10B78FD9-0300-2A4D-A540-9941F4277757}"/>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9" w:fontKey="{28628303-7637-0442-A657-B4BD51AE28E1}"/>
    <w:embedBold r:id="rId10" w:fontKey="{599D1CE9-8BDA-A64D-A446-CC9D8F9F7A52}"/>
  </w:font>
  <w:font w:name="Times New Roman">
    <w:panose1 w:val="02020603050405020304"/>
    <w:charset w:val="00"/>
    <w:family w:val="roman"/>
    <w:pitch w:val="variable"/>
    <w:sig w:usb0="E0002EFF" w:usb1="C000785B" w:usb2="00000009" w:usb3="00000000" w:csb0="000001FF" w:csb1="00000000"/>
    <w:embedRegular r:id="rId11" w:fontKey="{036F7337-594E-3949-A00B-70AB675F067B}"/>
    <w:embedBold r:id="rId12" w:fontKey="{8612F2A9-2198-4149-BC7B-C34AC27ABA33}"/>
    <w:embedItalic r:id="rId13" w:fontKey="{C5EAB81D-74DE-5845-B989-65A56060F444}"/>
    <w:embedBoldItalic r:id="rId14" w:fontKey="{164D8F8D-324D-F344-A3F7-DFE45AD6F3F8}"/>
  </w:font>
  <w:font w:name="OpenSymbol">
    <w:altName w:val="Arial Unicode MS"/>
    <w:charset w:val="00"/>
    <w:family w:val="auto"/>
    <w:pitch w:val="variable"/>
    <w:sig w:usb0="800000AF" w:usb1="1001ECEA" w:usb2="00000000" w:usb3="00000000" w:csb0="80000001" w:csb1="00000000"/>
    <w:embedRegular r:id="rId15" w:fontKey="{18078DF8-EB7F-B24A-A020-E68E4741858E}"/>
  </w:font>
  <w:font w:name="Liberation Sans">
    <w:altName w:val="Arial"/>
    <w:charset w:val="00"/>
    <w:family w:val="swiss"/>
    <w:pitch w:val="variable"/>
    <w:sig w:usb0="E0000AFF" w:usb1="500078FF" w:usb2="00000021" w:usb3="00000000" w:csb0="000001BF" w:csb1="00000000"/>
    <w:embedBold r:id="rId16" w:fontKey="{481C2424-AB0E-8944-BD9B-716966036983}"/>
  </w:font>
  <w:font w:name="Noto Sans CJK SC">
    <w:panose1 w:val="020B0502040504020204"/>
    <w:charset w:val="00"/>
    <w:family w:val="roman"/>
    <w:notTrueType/>
    <w:pitch w:val="default"/>
    <w:embedBold r:id="rId17" w:fontKey="{1A9ED692-781D-224C-B3A9-C1C4405BDE2D}"/>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1" w:fontKey="{AC66521A-E419-6A4A-B24F-25417B9877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58B5"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3C38108A" w14:textId="77777777" w:rsidR="00AB181E" w:rsidRDefault="00AB181E">
    <w:pPr>
      <w:pStyle w:val="Footer"/>
    </w:pPr>
  </w:p>
  <w:p w14:paraId="4DDF507A"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712E9" w14:textId="77777777" w:rsidR="0024391B" w:rsidRDefault="0024391B">
      <w:pPr>
        <w:rPr>
          <w:sz w:val="12"/>
        </w:rPr>
      </w:pPr>
      <w:r>
        <w:separator/>
      </w:r>
    </w:p>
  </w:footnote>
  <w:footnote w:type="continuationSeparator" w:id="0">
    <w:p w14:paraId="4E640A9D" w14:textId="77777777" w:rsidR="0024391B" w:rsidRDefault="0024391B">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2051567283">
    <w:abstractNumId w:val="0"/>
  </w:num>
  <w:num w:numId="2" w16cid:durableId="1454330396">
    <w:abstractNumId w:val="1"/>
  </w:num>
  <w:num w:numId="3" w16cid:durableId="996228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24391B"/>
    <w:rsid w:val="004C5262"/>
    <w:rsid w:val="004C5D49"/>
    <w:rsid w:val="004E25F0"/>
    <w:rsid w:val="00543FB9"/>
    <w:rsid w:val="005F3DE0"/>
    <w:rsid w:val="00601658"/>
    <w:rsid w:val="00694682"/>
    <w:rsid w:val="00717483"/>
    <w:rsid w:val="009D4AD9"/>
    <w:rsid w:val="00A32E5E"/>
    <w:rsid w:val="00A54BA3"/>
    <w:rsid w:val="00AB181E"/>
    <w:rsid w:val="00B20BB5"/>
    <w:rsid w:val="00B22F8E"/>
    <w:rsid w:val="00C425D1"/>
    <w:rsid w:val="00D30645"/>
    <w:rsid w:val="00DB1137"/>
    <w:rsid w:val="00DB4934"/>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EE01E"/>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uiPriority w:val="20"/>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UnresolvedMention">
    <w:name w:val="Unresolved Mention"/>
    <w:basedOn w:val="DefaultParagraphFont"/>
    <w:uiPriority w:val="99"/>
    <w:semiHidden/>
    <w:unhideWhenUsed/>
    <w:rsid w:val="00DB49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82662">
      <w:bodyDiv w:val="1"/>
      <w:marLeft w:val="0"/>
      <w:marRight w:val="0"/>
      <w:marTop w:val="0"/>
      <w:marBottom w:val="0"/>
      <w:divBdr>
        <w:top w:val="none" w:sz="0" w:space="0" w:color="auto"/>
        <w:left w:val="none" w:sz="0" w:space="0" w:color="auto"/>
        <w:bottom w:val="none" w:sz="0" w:space="0" w:color="auto"/>
        <w:right w:val="none" w:sz="0" w:space="0" w:color="auto"/>
      </w:divBdr>
      <w:divsChild>
        <w:div w:id="699666925">
          <w:marLeft w:val="-225"/>
          <w:marRight w:val="-225"/>
          <w:marTop w:val="0"/>
          <w:marBottom w:val="0"/>
          <w:divBdr>
            <w:top w:val="none" w:sz="0" w:space="0" w:color="auto"/>
            <w:left w:val="none" w:sz="0" w:space="0" w:color="auto"/>
            <w:bottom w:val="none" w:sz="0" w:space="0" w:color="auto"/>
            <w:right w:val="none" w:sz="0" w:space="0" w:color="auto"/>
          </w:divBdr>
          <w:divsChild>
            <w:div w:id="122773188">
              <w:marLeft w:val="0"/>
              <w:marRight w:val="0"/>
              <w:marTop w:val="0"/>
              <w:marBottom w:val="0"/>
              <w:divBdr>
                <w:top w:val="none" w:sz="0" w:space="0" w:color="auto"/>
                <w:left w:val="none" w:sz="0" w:space="0" w:color="auto"/>
                <w:bottom w:val="none" w:sz="0" w:space="0" w:color="auto"/>
                <w:right w:val="none" w:sz="0" w:space="0" w:color="auto"/>
              </w:divBdr>
              <w:divsChild>
                <w:div w:id="16018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4535">
          <w:marLeft w:val="0"/>
          <w:marRight w:val="0"/>
          <w:marTop w:val="0"/>
          <w:marBottom w:val="0"/>
          <w:divBdr>
            <w:top w:val="none" w:sz="0" w:space="0" w:color="auto"/>
            <w:left w:val="none" w:sz="0" w:space="0" w:color="auto"/>
            <w:bottom w:val="none" w:sz="0" w:space="0" w:color="auto"/>
            <w:right w:val="none" w:sz="0" w:space="0" w:color="auto"/>
          </w:divBdr>
          <w:divsChild>
            <w:div w:id="137767260">
              <w:marLeft w:val="0"/>
              <w:marRight w:val="0"/>
              <w:marTop w:val="0"/>
              <w:marBottom w:val="0"/>
              <w:divBdr>
                <w:top w:val="none" w:sz="0" w:space="0" w:color="auto"/>
                <w:left w:val="none" w:sz="0" w:space="0" w:color="auto"/>
                <w:bottom w:val="none" w:sz="0" w:space="0" w:color="auto"/>
                <w:right w:val="none" w:sz="0" w:space="0" w:color="auto"/>
              </w:divBdr>
              <w:divsChild>
                <w:div w:id="305815636">
                  <w:marLeft w:val="0"/>
                  <w:marRight w:val="0"/>
                  <w:marTop w:val="0"/>
                  <w:marBottom w:val="0"/>
                  <w:divBdr>
                    <w:top w:val="none" w:sz="0" w:space="0" w:color="auto"/>
                    <w:left w:val="none" w:sz="0" w:space="0" w:color="auto"/>
                    <w:bottom w:val="none" w:sz="0" w:space="0" w:color="auto"/>
                    <w:right w:val="none" w:sz="0" w:space="0" w:color="auto"/>
                  </w:divBdr>
                  <w:divsChild>
                    <w:div w:id="708535333">
                      <w:marLeft w:val="0"/>
                      <w:marRight w:val="0"/>
                      <w:marTop w:val="0"/>
                      <w:marBottom w:val="0"/>
                      <w:divBdr>
                        <w:top w:val="none" w:sz="0" w:space="0" w:color="auto"/>
                        <w:left w:val="none" w:sz="0" w:space="0" w:color="auto"/>
                        <w:bottom w:val="none" w:sz="0" w:space="0" w:color="auto"/>
                        <w:right w:val="none" w:sz="0" w:space="0" w:color="auto"/>
                      </w:divBdr>
                      <w:divsChild>
                        <w:div w:id="599458300">
                          <w:marLeft w:val="-225"/>
                          <w:marRight w:val="-225"/>
                          <w:marTop w:val="0"/>
                          <w:marBottom w:val="0"/>
                          <w:divBdr>
                            <w:top w:val="none" w:sz="0" w:space="0" w:color="auto"/>
                            <w:left w:val="none" w:sz="0" w:space="0" w:color="auto"/>
                            <w:bottom w:val="none" w:sz="0" w:space="0" w:color="auto"/>
                            <w:right w:val="none" w:sz="0" w:space="0" w:color="auto"/>
                          </w:divBdr>
                          <w:divsChild>
                            <w:div w:id="1158417747">
                              <w:marLeft w:val="0"/>
                              <w:marRight w:val="0"/>
                              <w:marTop w:val="0"/>
                              <w:marBottom w:val="0"/>
                              <w:divBdr>
                                <w:top w:val="none" w:sz="0" w:space="0" w:color="auto"/>
                                <w:left w:val="none" w:sz="0" w:space="0" w:color="auto"/>
                                <w:bottom w:val="none" w:sz="0" w:space="0" w:color="auto"/>
                                <w:right w:val="none" w:sz="0" w:space="0" w:color="auto"/>
                              </w:divBdr>
                              <w:divsChild>
                                <w:div w:id="533034257">
                                  <w:marLeft w:val="0"/>
                                  <w:marRight w:val="0"/>
                                  <w:marTop w:val="0"/>
                                  <w:marBottom w:val="0"/>
                                  <w:divBdr>
                                    <w:top w:val="none" w:sz="0" w:space="0" w:color="auto"/>
                                    <w:left w:val="none" w:sz="0" w:space="0" w:color="auto"/>
                                    <w:bottom w:val="none" w:sz="0" w:space="0" w:color="auto"/>
                                    <w:right w:val="none" w:sz="0" w:space="0" w:color="auto"/>
                                  </w:divBdr>
                                  <w:divsChild>
                                    <w:div w:id="1643072174">
                                      <w:marLeft w:val="0"/>
                                      <w:marRight w:val="0"/>
                                      <w:marTop w:val="0"/>
                                      <w:marBottom w:val="0"/>
                                      <w:divBdr>
                                        <w:top w:val="none" w:sz="0" w:space="0" w:color="auto"/>
                                        <w:left w:val="none" w:sz="0" w:space="0" w:color="auto"/>
                                        <w:bottom w:val="none" w:sz="0" w:space="0" w:color="auto"/>
                                        <w:right w:val="none" w:sz="0" w:space="0" w:color="auto"/>
                                      </w:divBdr>
                                      <w:divsChild>
                                        <w:div w:id="1392115738">
                                          <w:marLeft w:val="0"/>
                                          <w:marRight w:val="0"/>
                                          <w:marTop w:val="0"/>
                                          <w:marBottom w:val="0"/>
                                          <w:divBdr>
                                            <w:top w:val="none" w:sz="0" w:space="0" w:color="auto"/>
                                            <w:left w:val="none" w:sz="0" w:space="0" w:color="auto"/>
                                            <w:bottom w:val="none" w:sz="0" w:space="0" w:color="auto"/>
                                            <w:right w:val="none" w:sz="0" w:space="0" w:color="auto"/>
                                          </w:divBdr>
                                          <w:divsChild>
                                            <w:div w:id="906843528">
                                              <w:marLeft w:val="0"/>
                                              <w:marRight w:val="0"/>
                                              <w:marTop w:val="0"/>
                                              <w:marBottom w:val="0"/>
                                              <w:divBdr>
                                                <w:top w:val="none" w:sz="0" w:space="0" w:color="auto"/>
                                                <w:left w:val="none" w:sz="0" w:space="0" w:color="auto"/>
                                                <w:bottom w:val="none" w:sz="0" w:space="0" w:color="auto"/>
                                                <w:right w:val="none" w:sz="0" w:space="0" w:color="auto"/>
                                              </w:divBdr>
                                              <w:divsChild>
                                                <w:div w:id="749929403">
                                                  <w:marLeft w:val="0"/>
                                                  <w:marRight w:val="0"/>
                                                  <w:marTop w:val="0"/>
                                                  <w:marBottom w:val="0"/>
                                                  <w:divBdr>
                                                    <w:top w:val="none" w:sz="0" w:space="0" w:color="auto"/>
                                                    <w:left w:val="none" w:sz="0" w:space="0" w:color="auto"/>
                                                    <w:bottom w:val="none" w:sz="0" w:space="0" w:color="auto"/>
                                                    <w:right w:val="none" w:sz="0" w:space="0" w:color="auto"/>
                                                  </w:divBdr>
                                                  <w:divsChild>
                                                    <w:div w:id="1846050486">
                                                      <w:marLeft w:val="0"/>
                                                      <w:marRight w:val="0"/>
                                                      <w:marTop w:val="0"/>
                                                      <w:marBottom w:val="0"/>
                                                      <w:divBdr>
                                                        <w:top w:val="none" w:sz="0" w:space="0" w:color="auto"/>
                                                        <w:left w:val="none" w:sz="0" w:space="0" w:color="auto"/>
                                                        <w:bottom w:val="none" w:sz="0" w:space="0" w:color="auto"/>
                                                        <w:right w:val="none" w:sz="0" w:space="0" w:color="auto"/>
                                                      </w:divBdr>
                                                      <w:divsChild>
                                                        <w:div w:id="703941660">
                                                          <w:marLeft w:val="0"/>
                                                          <w:marRight w:val="0"/>
                                                          <w:marTop w:val="0"/>
                                                          <w:marBottom w:val="0"/>
                                                          <w:divBdr>
                                                            <w:top w:val="none" w:sz="0" w:space="0" w:color="auto"/>
                                                            <w:left w:val="none" w:sz="0" w:space="0" w:color="auto"/>
                                                            <w:bottom w:val="none" w:sz="0" w:space="0" w:color="auto"/>
                                                            <w:right w:val="none" w:sz="0" w:space="0" w:color="auto"/>
                                                          </w:divBdr>
                                                          <w:divsChild>
                                                            <w:div w:id="1343819281">
                                                              <w:marLeft w:val="0"/>
                                                              <w:marRight w:val="0"/>
                                                              <w:marTop w:val="0"/>
                                                              <w:marBottom w:val="0"/>
                                                              <w:divBdr>
                                                                <w:top w:val="none" w:sz="0" w:space="0" w:color="auto"/>
                                                                <w:left w:val="none" w:sz="0" w:space="0" w:color="auto"/>
                                                                <w:bottom w:val="none" w:sz="0" w:space="0" w:color="auto"/>
                                                                <w:right w:val="none" w:sz="0" w:space="0" w:color="auto"/>
                                                              </w:divBdr>
                                                              <w:divsChild>
                                                                <w:div w:id="71511786">
                                                                  <w:marLeft w:val="0"/>
                                                                  <w:marRight w:val="0"/>
                                                                  <w:marTop w:val="0"/>
                                                                  <w:marBottom w:val="0"/>
                                                                  <w:divBdr>
                                                                    <w:top w:val="none" w:sz="0" w:space="0" w:color="auto"/>
                                                                    <w:left w:val="none" w:sz="0" w:space="0" w:color="auto"/>
                                                                    <w:bottom w:val="none" w:sz="0" w:space="0" w:color="auto"/>
                                                                    <w:right w:val="none" w:sz="0" w:space="0" w:color="auto"/>
                                                                  </w:divBdr>
                                                                  <w:divsChild>
                                                                    <w:div w:id="1055275652">
                                                                      <w:marLeft w:val="0"/>
                                                                      <w:marRight w:val="0"/>
                                                                      <w:marTop w:val="0"/>
                                                                      <w:marBottom w:val="0"/>
                                                                      <w:divBdr>
                                                                        <w:top w:val="none" w:sz="0" w:space="0" w:color="auto"/>
                                                                        <w:left w:val="none" w:sz="0" w:space="0" w:color="auto"/>
                                                                        <w:bottom w:val="none" w:sz="0" w:space="0" w:color="auto"/>
                                                                        <w:right w:val="none" w:sz="0" w:space="0" w:color="auto"/>
                                                                      </w:divBdr>
                                                                      <w:divsChild>
                                                                        <w:div w:id="260798664">
                                                                          <w:marLeft w:val="0"/>
                                                                          <w:marRight w:val="0"/>
                                                                          <w:marTop w:val="0"/>
                                                                          <w:marBottom w:val="0"/>
                                                                          <w:divBdr>
                                                                            <w:top w:val="none" w:sz="0" w:space="0" w:color="auto"/>
                                                                            <w:left w:val="none" w:sz="0" w:space="0" w:color="auto"/>
                                                                            <w:bottom w:val="none" w:sz="0" w:space="0" w:color="auto"/>
                                                                            <w:right w:val="none" w:sz="0" w:space="0" w:color="auto"/>
                                                                          </w:divBdr>
                                                                          <w:divsChild>
                                                                            <w:div w:id="1308784325">
                                                                              <w:marLeft w:val="0"/>
                                                                              <w:marRight w:val="0"/>
                                                                              <w:marTop w:val="0"/>
                                                                              <w:marBottom w:val="0"/>
                                                                              <w:divBdr>
                                                                                <w:top w:val="none" w:sz="0" w:space="0" w:color="auto"/>
                                                                                <w:left w:val="none" w:sz="0" w:space="0" w:color="auto"/>
                                                                                <w:bottom w:val="none" w:sz="0" w:space="0" w:color="auto"/>
                                                                                <w:right w:val="none" w:sz="0" w:space="0" w:color="auto"/>
                                                                              </w:divBdr>
                                                                              <w:divsChild>
                                                                                <w:div w:id="2066250743">
                                                                                  <w:marLeft w:val="0"/>
                                                                                  <w:marRight w:val="0"/>
                                                                                  <w:marTop w:val="0"/>
                                                                                  <w:marBottom w:val="0"/>
                                                                                  <w:divBdr>
                                                                                    <w:top w:val="none" w:sz="0" w:space="0" w:color="auto"/>
                                                                                    <w:left w:val="none" w:sz="0" w:space="0" w:color="auto"/>
                                                                                    <w:bottom w:val="none" w:sz="0" w:space="0" w:color="auto"/>
                                                                                    <w:right w:val="none" w:sz="0" w:space="0" w:color="auto"/>
                                                                                  </w:divBdr>
                                                                                  <w:divsChild>
                                                                                    <w:div w:id="1779256866">
                                                                                      <w:marLeft w:val="0"/>
                                                                                      <w:marRight w:val="0"/>
                                                                                      <w:marTop w:val="0"/>
                                                                                      <w:marBottom w:val="0"/>
                                                                                      <w:divBdr>
                                                                                        <w:top w:val="none" w:sz="0" w:space="0" w:color="auto"/>
                                                                                        <w:left w:val="none" w:sz="0" w:space="0" w:color="auto"/>
                                                                                        <w:bottom w:val="none" w:sz="0" w:space="0" w:color="auto"/>
                                                                                        <w:right w:val="none" w:sz="0" w:space="0" w:color="auto"/>
                                                                                      </w:divBdr>
                                                                                      <w:divsChild>
                                                                                        <w:div w:id="748038683">
                                                                                          <w:marLeft w:val="0"/>
                                                                                          <w:marRight w:val="0"/>
                                                                                          <w:marTop w:val="0"/>
                                                                                          <w:marBottom w:val="0"/>
                                                                                          <w:divBdr>
                                                                                            <w:top w:val="none" w:sz="0" w:space="0" w:color="auto"/>
                                                                                            <w:left w:val="none" w:sz="0" w:space="0" w:color="auto"/>
                                                                                            <w:bottom w:val="none" w:sz="0" w:space="0" w:color="auto"/>
                                                                                            <w:right w:val="none" w:sz="0" w:space="0" w:color="auto"/>
                                                                                          </w:divBdr>
                                                                                          <w:divsChild>
                                                                                            <w:div w:id="1914312026">
                                                                                              <w:marLeft w:val="0"/>
                                                                                              <w:marRight w:val="600"/>
                                                                                              <w:marTop w:val="0"/>
                                                                                              <w:marBottom w:val="225"/>
                                                                                              <w:divBdr>
                                                                                                <w:top w:val="none" w:sz="0" w:space="0" w:color="auto"/>
                                                                                                <w:left w:val="none" w:sz="0" w:space="0" w:color="auto"/>
                                                                                                <w:bottom w:val="none" w:sz="0" w:space="0" w:color="auto"/>
                                                                                                <w:right w:val="none" w:sz="0" w:space="0" w:color="auto"/>
                                                                                              </w:divBdr>
                                                                                              <w:divsChild>
                                                                                                <w:div w:id="10063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na.wilson@area.ox.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rina.pavlova@area.ox.ac.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maka.tetradze@tsu.ge" TargetMode="External"/><Relationship Id="rId4" Type="http://schemas.openxmlformats.org/officeDocument/2006/relationships/webSettings" Target="webSettings.xml"/><Relationship Id="rId9" Type="http://schemas.openxmlformats.org/officeDocument/2006/relationships/hyperlink" Target="mailto:megi.kartsivadze@area.ox.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815</Words>
  <Characters>4648</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Ирина Павлова</cp:lastModifiedBy>
  <cp:revision>2</cp:revision>
  <cp:lastPrinted>2023-03-11T11:57:00Z</cp:lastPrinted>
  <dcterms:created xsi:type="dcterms:W3CDTF">2023-06-02T11:50:00Z</dcterms:created>
  <dcterms:modified xsi:type="dcterms:W3CDTF">2023-06-02T11:50:00Z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