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049FF" w14:textId="35721098" w:rsidR="00AB181E" w:rsidRDefault="002A625D">
      <w:pPr>
        <w:pStyle w:val="Author"/>
      </w:pPr>
      <w:r>
        <w:t>Stella Neumann</w:t>
      </w:r>
    </w:p>
    <w:p w14:paraId="3CE37BB3" w14:textId="7AEE5AC4" w:rsidR="00AB181E" w:rsidRDefault="002A625D">
      <w:pPr>
        <w:pStyle w:val="Titel"/>
      </w:pPr>
      <w:r w:rsidRPr="002A625D">
        <w:t>On distributional patterns of verbs in English and German</w:t>
      </w:r>
    </w:p>
    <w:p w14:paraId="7E0D677A" w14:textId="251D1DB2" w:rsidR="00AB181E" w:rsidRDefault="00AB181E">
      <w:pPr>
        <w:pStyle w:val="Untertitel"/>
      </w:pPr>
    </w:p>
    <w:p w14:paraId="6347B146" w14:textId="4FDD5231" w:rsidR="00AB181E" w:rsidRDefault="00224AA6">
      <w:pPr>
        <w:pStyle w:val="Keywords"/>
        <w:jc w:val="left"/>
      </w:pPr>
      <w:r>
        <w:rPr>
          <w:b/>
          <w:szCs w:val="20"/>
        </w:rPr>
        <w:t>Keywords:</w:t>
      </w:r>
      <w:r>
        <w:rPr>
          <w:szCs w:val="20"/>
        </w:rPr>
        <w:t xml:space="preserve"> </w:t>
      </w:r>
      <w:r w:rsidR="00B56367">
        <w:rPr>
          <w:szCs w:val="20"/>
        </w:rPr>
        <w:t>distributional differences; usage patterns; verbal versus nominal tendencies</w:t>
      </w:r>
    </w:p>
    <w:p w14:paraId="7913A92C" w14:textId="53A2B388" w:rsidR="002A625D" w:rsidRDefault="002A625D" w:rsidP="002A625D">
      <w:r>
        <w:t xml:space="preserve">This paper addresses the distribution of verbs in English and German with a particular focus on infinitival constructions. One frequently mentioned area of contrast between English and German is a difference in nominal versus verbal patterns. </w:t>
      </w:r>
      <w:r w:rsidR="00B37E7C">
        <w:fldChar w:fldCharType="begin"/>
      </w:r>
      <w:r w:rsidR="00B37E7C">
        <w:instrText xml:space="preserve"> ADDIN ZOTERO_ITEM CSL_CITATION {"citationID":"oLkEfa91","properties":{"formattedCitation":"(Kortmann/Meyer 1992, p. 165)","plainCitation":"(Kortmann/Meyer 1992, p. 165)","noteIndex":0},"citationItems":[{"id":5818,"uris":["http://zotero.org/users/local/gmRTKqUZ/items/RUKF4ILI"],"itemData":{"id":5818,"type":"chapter","container-title":"New departures in contrastive linguistics. Neue Ansätze in der kontrastiven Linguistik: Proceedings of the Conference Held at the Leopold-Franzens-Universität Innsbruck, Austria, 10-12 May 1991","event-place":"Innsbruck","page":"155-166","publisher":"Verlag des Instituts für Sprachwissenschaft","publisher-place":"Innsbruck","title":"Is English grammar more explicit than German grammar, after all?","volume":"1","author":[{"family":"Kortmann","given":"Bernd"},{"family":"Meyer","given":"Paul Georg"}],"editor":[{"family":"Mair","given":"Christian"},{"family":"Markus","given":"Manfred"}],"issued":{"date-parts":[["1992"]]}},"locator":"165","label":"page"}],"schema":"https://github.com/citation-style-language/schema/raw/master/csl-citation.json"} </w:instrText>
      </w:r>
      <w:r w:rsidR="00B37E7C">
        <w:fldChar w:fldCharType="separate"/>
      </w:r>
      <w:r w:rsidR="00B37E7C" w:rsidRPr="00B37E7C">
        <w:rPr>
          <w:rFonts w:cs="Libertinus Serif"/>
        </w:rPr>
        <w:t>(Kortmann/Meyer 1992, p. 165)</w:t>
      </w:r>
      <w:r w:rsidR="00B37E7C">
        <w:fldChar w:fldCharType="end"/>
      </w:r>
      <w:r>
        <w:t xml:space="preserve"> discuss a tendency of English to maximise the verb phrase, whereas German is said to expand the noun phrase, resulting in English being primarily verb-oriented and German being noun-oriented. However, such tendencies do not translate to an increased frequency of nouns when accounting for spelling differences of compounds </w:t>
      </w:r>
      <w:r w:rsidR="00B37E7C">
        <w:fldChar w:fldCharType="begin"/>
      </w:r>
      <w:r w:rsidR="00B37E7C">
        <w:instrText xml:space="preserve"> ADDIN ZOTERO_ITEM CSL_CITATION {"citationID":"8JYJM4YY","properties":{"formattedCitation":"(Berg et al. 2012, p. 280; Neumann 2020; also implicitly Gast/Borges 2023)","plainCitation":"(Berg et al. 2012, p. 280; Neumann 2020; also implicitly Gast/Borges 2023)","noteIndex":0},"citationItems":[{"id":14685,"uris":["http://zotero.org/users/local/gmRTKqUZ/items/RNBMUJE9"],"itemData":{"id":14685,"type":"article-journal","abstract":"Little is known about the principles governing the extent to which nominal compounds are used. Adopting a contrastive perspective, this paper takes as its starting point the widely held assumption that German assigns a more important role to compounding than English. The notion of compound use is broken down into the three factors of (type and token) frequency, productivity and complexity. An analysis of newspaper and fictional language reveals an astonishing crosslinguistic difference in the interaction of frequency and complexity. The higher rate of German compared to English two-noun compounds decreases with increasing complexity to the point of overturning this ratio in favor of relatively more four-noun compounds in English than in German. This holds good for type and token frequency, expanding productivity as well as for both text genres. The consistency of the empirical results invites a structural explanation of the crosslinguistic difference. Two language-particular factors are invoked: general compound propensity and the range of typical compound types. The former explains the predominance of shorter compounds in German, the latter the predominance of longer compounds in English. German is argued to have a higher compound propensity than English while English allows a wider range of compound types than German. In particular, because English permits more nonlexicalized compounds and because the proportion of these items increases with compound size, the higher frequency of English compared to German overlong compounds is restricted to the upper end of the complexity scale.","container-title":"Linguistics","DOI":"10.1515/ling-2012-0010","issue":"2","note":"number: 2","page":"269–303","source":"DeGruyter","title":"Determinants of the extent of compound use: A contrastive analysis","title-short":"Determinants of the extent of compound use","volume":"50","author":[{"family":"Berg","given":"Thomas"},{"family":"Helmer","given":"Sabine"},{"family":"Neubauer","given":"Marion"},{"family":"Lohmann","given":"Arne"}],"issued":{"date-parts":[["2012"]]}},"locator":"280","label":"page"},{"id":3376,"uris":["http://zotero.org/users/local/gmRTKqUZ/items/PRJNCUXZ"],"itemData":{"id":3376,"type":"chapter","container-title":"New approaches to contrastive linguistics","event-place":"Berlin","page":"127-158","publisher":"De Gruyter Mouton","publisher-place":"Berlin","title":"Is German more nominal than English? Evidence from a translation corpus","URL":"https://doi.org/10.1515/9783110682588-005","author":[{"family":"Neumann","given":"Stella"}],"editor":[{"family":"Enghels","given":"Renata"},{"family":"Jansegers","given":"Marlies"},{"family":"Defrancq","given":"Bart"}],"issued":{"date-parts":[["2020"]]}},"label":"page"},{"id":17685,"uris":["http://zotero.org/users/local/gmRTKqUZ/items/TF4LAID2"],"itemData":{"id":17685,"type":"article-journal","abstract":"This study investigates the distributions of word classes in English speeches made in the European Parliament and their German (written) translations and simultaneous interpretations. For comparison, a sample of original German speeches and a selection of political interviews are used. The study is motivated by the intention to understand the relationship between the type of mediation and communicative modes: mediated spoken language is compared to unmediated spoken language and to mediated written language. The results show that the interpretations exhibit a less nominal style than the translations, in this respect resembling unplanned spoken conversation. Other quantitative findings, such as a high frequency of adverbs, also point to a register effect, but interpretations have a hybrid status and can be located somewhere in the middle, between the register of the source text (parliamentary speech) and unplanned spoken discourse. The results are discussed against the background of the mechanisms that presumably underlie the choices made by translators (processing, register and strategies).","container-title":"Languages","DOI":"10.3390/languages8010039","ISSN":"2226-471X","issue":"1","language":"en","license":"http://creativecommons.org/licenses/by/3.0/","note":"number: 1\npublisher: Multidisciplinary Digital Publishing Institute","page":"39","source":"www.mdpi.com","title":"Nouns, Verbs and Other Parts of Speech in Translation and Interpreting: Evidence from English Speeches Made in the European Parliament and Their German Translations and Interpretations","title-short":"Nouns, Verbs and Other Parts of Speech in Translation and Interpreting","volume":"8","author":[{"family":"Gast","given":"Volker"},{"family":"Borges","given":"Robert"}],"issued":{"date-parts":[["2023",3]]}},"label":"page","prefix":"also implicitly"}],"schema":"https://github.com/citation-style-language/schema/raw/master/csl-citation.json"} </w:instrText>
      </w:r>
      <w:r w:rsidR="00B37E7C">
        <w:fldChar w:fldCharType="separate"/>
      </w:r>
      <w:r w:rsidR="00B37E7C" w:rsidRPr="00B37E7C">
        <w:rPr>
          <w:rFonts w:cs="Libertinus Serif"/>
        </w:rPr>
        <w:t>(Berg et al. 2012, p. 280; Neumann 2020; also implicitly Gast/Borges 2023)</w:t>
      </w:r>
      <w:r w:rsidR="00B37E7C">
        <w:fldChar w:fldCharType="end"/>
      </w:r>
      <w:r>
        <w:t>. Against this background, Neumann</w:t>
      </w:r>
      <w:r w:rsidR="00B37E7C">
        <w:t xml:space="preserve"> </w:t>
      </w:r>
      <w:r w:rsidR="00B37E7C">
        <w:fldChar w:fldCharType="begin"/>
      </w:r>
      <w:r w:rsidR="00B37E7C">
        <w:instrText xml:space="preserve"> ADDIN ZOTERO_ITEM CSL_CITATION {"citationID":"dguJpD6G","properties":{"formattedCitation":"(2020, p. 150)","plainCitation":"(2020, p. 150)","noteIndex":0},"citationItems":[{"id":3376,"uris":["http://zotero.org/users/local/gmRTKqUZ/items/PRJNCUXZ"],"itemData":{"id":3376,"type":"chapter","container-title":"New approaches to contrastive linguistics","event-place":"Berlin","page":"127-158","publisher":"De Gruyter Mouton","publisher-place":"Berlin","title":"Is German more nominal than English? Evidence from a translation corpus","URL":"https://doi.org/10.1515/9783110682588-005","author":[{"family":"Neumann","given":"Stella"}],"editor":[{"family":"Enghels","given":"Renata"},{"family":"Jansegers","given":"Marlies"},{"family":"Defrancq","given":"Bart"}],"issued":{"date-parts":[["2020"]]}},"locator":"150","label":"page","suppress-author":true}],"schema":"https://github.com/citation-style-language/schema/raw/master/csl-citation.json"} </w:instrText>
      </w:r>
      <w:r w:rsidR="00B37E7C">
        <w:fldChar w:fldCharType="separate"/>
      </w:r>
      <w:r w:rsidR="00B37E7C" w:rsidRPr="00B37E7C">
        <w:rPr>
          <w:rFonts w:cs="Libertinus Serif"/>
        </w:rPr>
        <w:t>(2020, p. 150)</w:t>
      </w:r>
      <w:r w:rsidR="00B37E7C">
        <w:fldChar w:fldCharType="end"/>
      </w:r>
      <w:r>
        <w:t xml:space="preserve"> suggests that a difference in verb usage might be responsible for the perceived preference for nominal versus verbal patterns in the two languages. She speculates that German does not draw on non-finite verbs to the same extent in comparable grammatical contexts which involve similar numbers of nouns, explaining this by the limited additional information a non-finite verb may contribute. English, in turn, seems to express the procedural aspect of an event or state more congruently with the help of a verb. </w:t>
      </w:r>
    </w:p>
    <w:p w14:paraId="024DE5D0" w14:textId="30A0F311" w:rsidR="002A625D" w:rsidRDefault="002A625D" w:rsidP="002A625D">
      <w:r>
        <w:t>This study sets out to test this claim with the help of a quantitative corpus analysis in English and German. It draws on the original parts of the CroCo Corpus</w:t>
      </w:r>
      <w:r w:rsidR="00B37E7C">
        <w:t xml:space="preserve"> </w:t>
      </w:r>
      <w:r w:rsidR="00B37E7C">
        <w:fldChar w:fldCharType="begin"/>
      </w:r>
      <w:r w:rsidR="00B37E7C">
        <w:instrText xml:space="preserve"> ADDIN ZOTERO_ITEM CSL_CITATION {"citationID":"0Umh0wDa","properties":{"formattedCitation":"(Hansen-Schirra/Neumann/Steiner 2012)","plainCitation":"(Hansen-Schirra/Neumann/Steiner 2012)","noteIndex":0},"citationItems":[{"id":15053,"uris":["http://zotero.org/users/local/gmRTKqUZ/items/5K42E5LX"],"itemData":{"id":15053,"type":"book","event-place":"Berlin","ISBN":"978-3-11-026165-3","number-of-pages":"VIII, 311 S. : Ill., graph. Darst.","publisher":"de Gruyter Mouton","publisher-place":"Berlin","title":"Cross-linguistic Corpora for the Study of Translations - Insights from the language pair English-German","author":[{"family":"Hansen-Schirra","given":"Silvia"},{"family":"Neumann","given":"Stella"},{"family":"Steiner","given":"Erich"}],"issued":{"date-parts":[["2012"]]}}}],"schema":"https://github.com/citation-style-language/schema/raw/master/csl-citation.json"} </w:instrText>
      </w:r>
      <w:r w:rsidR="00B37E7C">
        <w:fldChar w:fldCharType="separate"/>
      </w:r>
      <w:r w:rsidR="00B37E7C" w:rsidRPr="00B37E7C">
        <w:rPr>
          <w:rFonts w:cs="Libertinus Serif"/>
        </w:rPr>
        <w:t>(Hansen-Schirra/Neumann/Steiner 2012)</w:t>
      </w:r>
      <w:r w:rsidR="00B37E7C">
        <w:fldChar w:fldCharType="end"/>
      </w:r>
      <w:r>
        <w:t xml:space="preserve">. This balanced corpus contains original and translated texts in both translation directions from eight comparable registers. The original subcorpus comprises 500,697 words across 231 texts in the two languages and is annotated with part of speech (PoS) in-formation and indexed with the IMS Open Corpus Workbench </w:t>
      </w:r>
      <w:r w:rsidR="00B37E7C">
        <w:fldChar w:fldCharType="begin"/>
      </w:r>
      <w:r w:rsidR="00B37E7C">
        <w:instrText xml:space="preserve"> ADDIN ZOTERO_ITEM CSL_CITATION {"citationID":"59Qkv9FS","properties":{"formattedCitation":"(CWB; Evert/Hardie 2011)","plainCitation":"(CWB; Evert/Hardie 2011)","noteIndex":0},"citationItems":[{"id":6664,"uris":["http://zotero.org/users/local/gmRTKqUZ/items/DSVRYTV5"],"itemData":{"id":6664,"type":"paper-conference","container-title":"Proceedings of the Corpus Linguistics Conference 2011, University of Birmingham, UK, 20-22 July 2011","event-place":"Birmingham, UK","event-title":"Corpus Linguistics Conference 2011","publisher":"University of Birmingham","publisher-place":"Birmingham, UK","title":"Twenty-first century Corpus Workbench: Updating a query architecture for the new millennium","URL":"http://www.birmingham.ac.uk/documents/college-artslaw/corpus/conference-archives/2011/Paper-153.pdf","author":[{"family":"Evert","given":"Stefan"},{"family":"Hardie","given":"Andrew"}],"issued":{"date-parts":[["2011"]]}},"label":"page","prefix":"CWB;"}],"schema":"https://github.com/citation-style-language/schema/raw/master/csl-citation.json"} </w:instrText>
      </w:r>
      <w:r w:rsidR="00B37E7C">
        <w:fldChar w:fldCharType="separate"/>
      </w:r>
      <w:r w:rsidR="00B37E7C" w:rsidRPr="00B37E7C">
        <w:rPr>
          <w:rFonts w:cs="Libertinus Serif"/>
        </w:rPr>
        <w:t>(CWB; Evert/Hardie 2011)</w:t>
      </w:r>
      <w:r w:rsidR="00B37E7C">
        <w:fldChar w:fldCharType="end"/>
      </w:r>
      <w:r>
        <w:t xml:space="preserve">. Different forms of verbs are extracted with the help of complex queries in the CQP query syntax </w:t>
      </w:r>
      <w:r w:rsidR="00B37E7C">
        <w:fldChar w:fldCharType="begin"/>
      </w:r>
      <w:r w:rsidR="00B37E7C">
        <w:instrText xml:space="preserve"> ADDIN ZOTERO_ITEM CSL_CITATION {"citationID":"WKPiBrBg","properties":{"formattedCitation":"(Evert/The CWB Development Team 2020)","plainCitation":"(Evert/The CWB Development Team 2020)","noteIndex":0},"citationItems":[{"id":15623,"uris":["http://zotero.org/users/local/gmRTKqUZ/items/B4J3ZNGY"],"itemData":{"id":15623,"type":"software","note":"Programmers: _:n59861","title":"The IMS Open Corpus Workbench (CWB) CQP Query Language Tutorial","URL":"http://cwb.sourceforge.net/files/CQP_Tutorial/","version":"CWB Version 3.5","author":[{"family":"Evert","given":"Stefan"},{"literal":"The CWB Development Team"}],"accessed":{"date-parts":[["2020",5,18]]},"issued":{"date-parts":[["2020"]]}}}],"schema":"https://github.com/citation-style-language/schema/raw/master/csl-citation.json"} </w:instrText>
      </w:r>
      <w:r w:rsidR="00B37E7C">
        <w:fldChar w:fldCharType="separate"/>
      </w:r>
      <w:r w:rsidR="00B37E7C" w:rsidRPr="00B37E7C">
        <w:rPr>
          <w:rFonts w:cs="Libertinus Serif"/>
        </w:rPr>
        <w:t>(Evert/The CWB Development Team 2020)</w:t>
      </w:r>
      <w:r w:rsidR="00B37E7C">
        <w:fldChar w:fldCharType="end"/>
      </w:r>
      <w:r>
        <w:t xml:space="preserve"> supported by the CWB. A particular focus of the analysis is on </w:t>
      </w:r>
      <w:r w:rsidRPr="002A625D">
        <w:rPr>
          <w:i/>
        </w:rPr>
        <w:t>to/zu</w:t>
      </w:r>
      <w:r>
        <w:t xml:space="preserve"> infinitives. In German, these are extracted both in the form infinitive marker followed by verb (</w:t>
      </w:r>
      <w:r w:rsidRPr="002A625D">
        <w:rPr>
          <w:i/>
        </w:rPr>
        <w:t>zu verstehen</w:t>
      </w:r>
      <w:r>
        <w:t>) and as single verbs with the infinitive marker integrated morphologically (</w:t>
      </w:r>
      <w:r w:rsidRPr="002A625D">
        <w:rPr>
          <w:i/>
        </w:rPr>
        <w:t>aufzulegen</w:t>
      </w:r>
      <w:r>
        <w:t xml:space="preserve">). All occurrences are normalised using a rea-sonable unit of measurement, such as the number of finites or sentences per text. Normalised by number of words, English texts generally contain more verbs as well as more </w:t>
      </w:r>
      <w:r w:rsidRPr="002A625D">
        <w:rPr>
          <w:i/>
        </w:rPr>
        <w:t>to/zu</w:t>
      </w:r>
      <w:r>
        <w:t xml:space="preserve"> infinitives, but similar numbers of finites than German texts. When compared by number of sentences, all three frequencies are clearly higher in English than in German. Linear regression models with these three features as response variables and language and register as predictors (sum-coded) and including an interaction term for language and register yield significant main effects for language and various individual registers. Additionally, the model for </w:t>
      </w:r>
      <w:r w:rsidRPr="002A625D">
        <w:rPr>
          <w:i/>
        </w:rPr>
        <w:t>to/zu</w:t>
      </w:r>
      <w:r>
        <w:t xml:space="preserve"> infinitives also retrieves interactions between language and register, indicating that registers display specific distributions in the context of German. </w:t>
      </w:r>
    </w:p>
    <w:p w14:paraId="137BC963" w14:textId="5B06B3AD" w:rsidR="002A625D" w:rsidRDefault="002A625D" w:rsidP="002A625D">
      <w:r>
        <w:lastRenderedPageBreak/>
        <w:t xml:space="preserve">These results corroborate claims about the stronger verb orientation of English. Inspection of the query hits suggest that many of the occurrences can be explained straightforwardly by constructions such as embedded clauses serving as postmodifiers within noun phrases, semi-modals such as </w:t>
      </w:r>
      <w:r w:rsidRPr="00B37E7C">
        <w:rPr>
          <w:i/>
        </w:rPr>
        <w:t>need to</w:t>
      </w:r>
      <w:r>
        <w:t xml:space="preserve"> and </w:t>
      </w:r>
      <w:r w:rsidRPr="00B37E7C">
        <w:rPr>
          <w:i/>
        </w:rPr>
        <w:t>have to</w:t>
      </w:r>
      <w:r>
        <w:t xml:space="preserve"> and the </w:t>
      </w:r>
      <w:r w:rsidRPr="00B37E7C">
        <w:rPr>
          <w:i/>
        </w:rPr>
        <w:t>going to</w:t>
      </w:r>
      <w:r>
        <w:t xml:space="preserve"> future. Frequent contexts also include phasal constructions with </w:t>
      </w:r>
      <w:r w:rsidRPr="00B37E7C">
        <w:rPr>
          <w:i/>
          <w:iCs/>
        </w:rPr>
        <w:t>continue</w:t>
      </w:r>
      <w:r>
        <w:t xml:space="preserve"> or </w:t>
      </w:r>
      <w:r w:rsidRPr="00B37E7C">
        <w:rPr>
          <w:i/>
          <w:iCs/>
        </w:rPr>
        <w:t>begin</w:t>
      </w:r>
      <w:r>
        <w:t xml:space="preserve">. To explore possible equivalents for such constructions, the same query was applied to the aligned English-German translation pairs in the CroCo corpus. The results indicate that verbs expressing phase are often translated by adverbs such as </w:t>
      </w:r>
      <w:r w:rsidRPr="002A625D">
        <w:rPr>
          <w:i/>
        </w:rPr>
        <w:t>weiterhin</w:t>
      </w:r>
      <w:r>
        <w:t xml:space="preserve"> with the </w:t>
      </w:r>
      <w:r w:rsidRPr="002A625D">
        <w:rPr>
          <w:i/>
        </w:rPr>
        <w:t>to</w:t>
      </w:r>
      <w:r>
        <w:t xml:space="preserve"> infinitive translated by a finite verb. In such cases, the German clause contains only one instead of two verbs and the only remaining verb is finite, thus offering one explanation for the difference in frequency of verbs. The results suggest that German offers a </w:t>
      </w:r>
      <w:r w:rsidR="0075069B">
        <w:t>wider range of distributional</w:t>
      </w:r>
      <w:r w:rsidR="00B37E7C">
        <w:t xml:space="preserve"> </w:t>
      </w:r>
      <w:r>
        <w:t xml:space="preserve">options corresponding to the English infinitival constructions. These options are </w:t>
      </w:r>
      <w:r w:rsidR="0075069B">
        <w:t>reflected by</w:t>
      </w:r>
      <w:r>
        <w:t xml:space="preserve"> the frequency difference in the formally corresponding construction and underline the importance of complementing system-based comparisons with usage-based data. </w:t>
      </w:r>
    </w:p>
    <w:p w14:paraId="57A8057B" w14:textId="77777777" w:rsidR="00AB181E" w:rsidRDefault="00224AA6">
      <w:pPr>
        <w:pStyle w:val="Rechtsgrundlagenverzeichnis"/>
      </w:pPr>
      <w:r>
        <w:t>References</w:t>
      </w:r>
    </w:p>
    <w:p w14:paraId="0351CADF" w14:textId="77777777" w:rsidR="00EA6451" w:rsidRPr="00EA6451" w:rsidRDefault="00EA6451" w:rsidP="00EA6451">
      <w:pPr>
        <w:pStyle w:val="Literaturverzeichnis"/>
        <w:rPr>
          <w:rFonts w:cs="Libertinus Serif"/>
          <w:sz w:val="19"/>
        </w:rPr>
      </w:pPr>
      <w:r>
        <w:fldChar w:fldCharType="begin"/>
      </w:r>
      <w:r>
        <w:instrText xml:space="preserve"> ADDIN ZOTERO_BIBL {"uncited":[],"omitted":[],"custom":[]} CSL_BIBLIOGRAPHY </w:instrText>
      </w:r>
      <w:r>
        <w:fldChar w:fldCharType="separate"/>
      </w:r>
      <w:r w:rsidRPr="00EA6451">
        <w:rPr>
          <w:rFonts w:cs="Libertinus Serif"/>
          <w:sz w:val="19"/>
        </w:rPr>
        <w:t>Berg, Thomas/Helmer, Sabine/Neubauer, Marion/Lohmann, Arne (2012): Determinants of the extent of compound use: A contrastive analysis. In: Linguistics, 50(2), pp. 269–303. http://doi.org/10.1515/ling-2012-0010.</w:t>
      </w:r>
    </w:p>
    <w:p w14:paraId="73E0709A" w14:textId="77777777" w:rsidR="00EA6451" w:rsidRPr="00EA6451" w:rsidRDefault="00EA6451" w:rsidP="00EA6451">
      <w:pPr>
        <w:pStyle w:val="Literaturverzeichnis"/>
        <w:rPr>
          <w:rFonts w:cs="Libertinus Serif"/>
          <w:sz w:val="19"/>
        </w:rPr>
      </w:pPr>
      <w:r w:rsidRPr="00EA6451">
        <w:rPr>
          <w:rFonts w:cs="Libertinus Serif"/>
          <w:sz w:val="19"/>
        </w:rPr>
        <w:t xml:space="preserve">Evert, Stefan/Hardie, Andrew (2011): Twenty-first century Corpus Workbench: Updating a query architecture for the new millennium. In: Proceedings of the Corpus Linguistics Conference 2011, University of Birmingham, UK, 20-22 July 2011. </w:t>
      </w:r>
      <w:r w:rsidRPr="00EA6451">
        <w:rPr>
          <w:rFonts w:cs="Libertinus Serif"/>
          <w:i/>
          <w:iCs/>
          <w:sz w:val="19"/>
        </w:rPr>
        <w:t>Corpus Linguistics Conference 2011</w:t>
      </w:r>
      <w:r w:rsidRPr="00EA6451">
        <w:rPr>
          <w:rFonts w:cs="Libertinus Serif"/>
          <w:sz w:val="19"/>
        </w:rPr>
        <w:t>, Birmingham, UK: University of Birmingham. http://www.birmingham.ac.uk/documents/college-artslaw/corpus/conference-archives/2011/Paper-153.pdf.</w:t>
      </w:r>
    </w:p>
    <w:p w14:paraId="044CA881" w14:textId="77777777" w:rsidR="00EA6451" w:rsidRPr="00EA6451" w:rsidRDefault="00EA6451" w:rsidP="00EA6451">
      <w:pPr>
        <w:pStyle w:val="Literaturverzeichnis"/>
        <w:rPr>
          <w:rFonts w:cs="Libertinus Serif"/>
          <w:sz w:val="19"/>
        </w:rPr>
      </w:pPr>
      <w:r w:rsidRPr="00EA6451">
        <w:rPr>
          <w:rFonts w:cs="Libertinus Serif"/>
          <w:sz w:val="19"/>
        </w:rPr>
        <w:t>Evert, Stefan/The CWB Development Team (2020): The IMS Open Corpus Workbench (CWB) CQP Query Language Tutorial. http://cwb.sourceforge.net/files/CQP_Tutorial/ (last access: 18 May 2020).</w:t>
      </w:r>
    </w:p>
    <w:p w14:paraId="0BE91E47" w14:textId="77777777" w:rsidR="00EA6451" w:rsidRPr="00EA6451" w:rsidRDefault="00EA6451" w:rsidP="00EA6451">
      <w:pPr>
        <w:pStyle w:val="Literaturverzeichnis"/>
        <w:rPr>
          <w:rFonts w:cs="Libertinus Serif"/>
          <w:sz w:val="19"/>
        </w:rPr>
      </w:pPr>
      <w:r w:rsidRPr="00EA6451">
        <w:rPr>
          <w:rFonts w:cs="Libertinus Serif"/>
          <w:sz w:val="19"/>
        </w:rPr>
        <w:t>Gast, Volker/Borges, Robert (2023): Nouns, Verbs and Other Parts of Speech in Translation and Interpreting: Evidence from English Speeches Made in the European Parliament and Their German Translations and Interpretations. In: Languages, 8(1), p. 39. http://doi.org/10.3390/languages8010039.</w:t>
      </w:r>
    </w:p>
    <w:p w14:paraId="093B533A" w14:textId="77777777" w:rsidR="00EA6451" w:rsidRPr="00EA6451" w:rsidRDefault="00EA6451" w:rsidP="00EA6451">
      <w:pPr>
        <w:pStyle w:val="Literaturverzeichnis"/>
        <w:rPr>
          <w:rFonts w:cs="Libertinus Serif"/>
          <w:sz w:val="19"/>
        </w:rPr>
      </w:pPr>
      <w:r w:rsidRPr="00EA6451">
        <w:rPr>
          <w:rFonts w:cs="Libertinus Serif"/>
          <w:sz w:val="19"/>
        </w:rPr>
        <w:t>Hansen-Schirra, Silvia/Neumann, Stella/Steiner, Erich (2012): Cross-linguistic Corpora for the Study of Translations - Insights from the language pair English-German. Berlin: de Gruyter Mouton.</w:t>
      </w:r>
    </w:p>
    <w:p w14:paraId="43F48BD9" w14:textId="77777777" w:rsidR="00EA6451" w:rsidRPr="00EA6451" w:rsidRDefault="00EA6451" w:rsidP="00EA6451">
      <w:pPr>
        <w:pStyle w:val="Literaturverzeichnis"/>
        <w:rPr>
          <w:rFonts w:cs="Libertinus Serif"/>
          <w:sz w:val="19"/>
          <w:lang w:val="de-DE"/>
        </w:rPr>
      </w:pPr>
      <w:r w:rsidRPr="00EA6451">
        <w:rPr>
          <w:rFonts w:cs="Libertinus Serif"/>
          <w:sz w:val="19"/>
        </w:rPr>
        <w:t xml:space="preserve">Kortmann, Bernd/Meyer, Paul Georg (1992): Is English grammar more explicit than German grammar, after all? In: Mair, Christian/Markus, Manfred (eds.): New departures in contrastive linguistics. </w:t>
      </w:r>
      <w:r w:rsidRPr="00EA6451">
        <w:rPr>
          <w:rFonts w:cs="Libertinus Serif"/>
          <w:sz w:val="19"/>
          <w:lang w:val="de-DE"/>
        </w:rPr>
        <w:t>Neue Ansätze in der kontrastiven Linguistik: Proceedings of the Conference Held at the Leopold-Franzens-Universität Innsbruck, Austria, 10-12 May 1991. Innsbruck: Verlag des Instituts für Sprachwissenschaft, pp. 155–166.</w:t>
      </w:r>
    </w:p>
    <w:p w14:paraId="17A5CB04" w14:textId="77777777" w:rsidR="00EA6451" w:rsidRPr="0075069B" w:rsidRDefault="00EA6451" w:rsidP="00EA6451">
      <w:pPr>
        <w:pStyle w:val="Literaturverzeichnis"/>
        <w:rPr>
          <w:rFonts w:cs="Libertinus Serif"/>
          <w:sz w:val="19"/>
          <w:lang w:val="de-DE"/>
        </w:rPr>
      </w:pPr>
      <w:r w:rsidRPr="00EA6451">
        <w:rPr>
          <w:rFonts w:cs="Libertinus Serif"/>
          <w:sz w:val="19"/>
        </w:rPr>
        <w:t xml:space="preserve">Neumann, Stella (2020): Is German more nominal than English? Evidence from a translation corpus. In: Enghels, Renata/Jansegers, Marlies/Defrancq, Bart (eds.): New approaches to contrastive linguistics. </w:t>
      </w:r>
      <w:r w:rsidRPr="0075069B">
        <w:rPr>
          <w:rFonts w:cs="Libertinus Serif"/>
          <w:sz w:val="19"/>
          <w:lang w:val="de-DE"/>
        </w:rPr>
        <w:t>Berlin: De Gruyter Mouton, pp. 127–158. https://doi.org/10.1515/9783110682588-005.</w:t>
      </w:r>
    </w:p>
    <w:p w14:paraId="3C8B3E2C" w14:textId="7122ED78" w:rsidR="00AB181E" w:rsidRPr="0075069B" w:rsidRDefault="00EA6451">
      <w:pPr>
        <w:pStyle w:val="Literaturverzeichnis1"/>
        <w:ind w:left="397" w:hanging="397"/>
        <w:rPr>
          <w:lang w:val="de-DE"/>
        </w:rPr>
      </w:pPr>
      <w:r>
        <w:fldChar w:fldCharType="end"/>
      </w:r>
    </w:p>
    <w:p w14:paraId="44DCE94A" w14:textId="77777777" w:rsidR="00AB181E" w:rsidRPr="0075069B" w:rsidRDefault="00224AA6">
      <w:pPr>
        <w:pStyle w:val="berschrift1"/>
        <w:rPr>
          <w:lang w:val="de-DE"/>
        </w:rPr>
      </w:pPr>
      <w:r w:rsidRPr="0075069B">
        <w:rPr>
          <w:lang w:val="de-DE"/>
        </w:rPr>
        <w:t>Contact information</w:t>
      </w:r>
    </w:p>
    <w:p w14:paraId="7E5AA9C0" w14:textId="12E80ADB" w:rsidR="00AB181E" w:rsidRPr="0075069B" w:rsidRDefault="00B37E7C">
      <w:pPr>
        <w:rPr>
          <w:lang w:val="de-DE"/>
        </w:rPr>
      </w:pPr>
      <w:r w:rsidRPr="0075069B">
        <w:rPr>
          <w:rStyle w:val="Fett"/>
          <w:lang w:val="de-DE"/>
        </w:rPr>
        <w:t>Stella Neumann</w:t>
      </w:r>
    </w:p>
    <w:p w14:paraId="772F2362" w14:textId="7DBF91A4" w:rsidR="00AB181E" w:rsidRPr="0075069B" w:rsidRDefault="00B37E7C">
      <w:pPr>
        <w:rPr>
          <w:lang w:val="de-DE"/>
        </w:rPr>
      </w:pPr>
      <w:r w:rsidRPr="0075069B">
        <w:rPr>
          <w:lang w:val="de-DE"/>
        </w:rPr>
        <w:t>RWTH Aachen University</w:t>
      </w:r>
    </w:p>
    <w:p w14:paraId="666D5186" w14:textId="348016F2" w:rsidR="00AB181E" w:rsidRPr="0075069B" w:rsidRDefault="0075069B">
      <w:pPr>
        <w:rPr>
          <w:lang w:val="de-DE"/>
        </w:rPr>
      </w:pPr>
      <w:hyperlink r:id="rId7" w:history="1">
        <w:r w:rsidR="00B37E7C" w:rsidRPr="0075069B">
          <w:rPr>
            <w:rStyle w:val="Hyperlink"/>
            <w:lang w:val="de-DE"/>
          </w:rPr>
          <w:t>stella.neumann@ifaar.rwth-aachen.de</w:t>
        </w:r>
      </w:hyperlink>
    </w:p>
    <w:p w14:paraId="0ADD6351" w14:textId="77777777" w:rsidR="00AB181E" w:rsidRPr="0075069B" w:rsidRDefault="00AB181E">
      <w:pPr>
        <w:pStyle w:val="Literaturverzeichnis1"/>
        <w:ind w:left="0" w:firstLine="0"/>
        <w:rPr>
          <w:lang w:val="de-DE"/>
        </w:rPr>
      </w:pPr>
    </w:p>
    <w:p w14:paraId="6A37C189" w14:textId="77777777" w:rsidR="00AB181E" w:rsidRPr="0075069B" w:rsidRDefault="00AB181E">
      <w:pPr>
        <w:pStyle w:val="Literaturverzeichnis1"/>
        <w:ind w:left="0" w:firstLine="0"/>
        <w:rPr>
          <w:lang w:val="de-DE"/>
        </w:rPr>
      </w:pPr>
    </w:p>
    <w:sectPr w:rsidR="00AB181E" w:rsidRPr="0075069B">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A023" w14:textId="77777777" w:rsidR="00C425D1" w:rsidRDefault="00C425D1">
      <w:pPr>
        <w:spacing w:before="0" w:line="240" w:lineRule="auto"/>
      </w:pPr>
      <w:r>
        <w:separator/>
      </w:r>
    </w:p>
  </w:endnote>
  <w:endnote w:type="continuationSeparator" w:id="0">
    <w:p w14:paraId="1528564E" w14:textId="77777777" w:rsidR="00C425D1" w:rsidRDefault="00C425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286A86E-C188-4FD0-B3B1-4B88D493198D}"/>
    <w:embedBold r:id="rId2" w:fontKey="{A638D1E2-0058-4127-B763-F32D08661C78}"/>
    <w:embedItalic r:id="rId3" w:fontKey="{34034543-9A85-42F3-A90D-1DD1F7E9BE12}"/>
  </w:font>
  <w:font w:name="Tahoma">
    <w:panose1 w:val="020B0604030504040204"/>
    <w:charset w:val="00"/>
    <w:family w:val="swiss"/>
    <w:pitch w:val="variable"/>
    <w:sig w:usb0="E1002EFF" w:usb1="C000605B" w:usb2="00000029" w:usb3="00000000" w:csb0="000101FF" w:csb1="00000000"/>
    <w:embedRegular r:id="rId4" w:fontKey="{F08D83A6-8060-46DB-8C4D-E0FEEAD5CCEF}"/>
    <w:embedBold r:id="rId5" w:fontKey="{ACE26D21-0FCB-4F94-8E46-4594425FAE1D}"/>
    <w:embedItalic r:id="rId6" w:fontKey="{4E47ED5F-F378-4824-98B8-0F908CB28F34}"/>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B3BE8F06-B144-47D3-9FB2-806DEB048497}"/>
    <w:embedBold r:id="rId8" w:fontKey="{A94FC442-06E5-4E65-AC81-ADAACA9936CB}"/>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B0548921-3F99-42FC-92D4-8BE3BD23BF90}"/>
  </w:font>
  <w:font w:name="Liberation Sans">
    <w:altName w:val="Arial"/>
    <w:charset w:val="00"/>
    <w:family w:val="swiss"/>
    <w:pitch w:val="variable"/>
    <w:sig w:usb0="E0000AFF" w:usb1="500078FF" w:usb2="00000021" w:usb3="00000000" w:csb0="000001BF" w:csb1="00000000"/>
    <w:embedBold r:id="rId10" w:fontKey="{7EE79078-2644-4D11-9434-5C5E9C13FE3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5D66501B-13AB-4B49-AE92-DF7722226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A816"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44C74B0E" w14:textId="77777777" w:rsidR="00AB181E" w:rsidRDefault="00AB181E">
    <w:pPr>
      <w:pStyle w:val="Fuzeile"/>
    </w:pPr>
  </w:p>
  <w:p w14:paraId="2C9723B1"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07A7" w14:textId="77777777" w:rsidR="00C425D1" w:rsidRDefault="00C425D1">
      <w:pPr>
        <w:rPr>
          <w:sz w:val="12"/>
        </w:rPr>
      </w:pPr>
      <w:r>
        <w:separator/>
      </w:r>
    </w:p>
  </w:footnote>
  <w:footnote w:type="continuationSeparator" w:id="0">
    <w:p w14:paraId="1E56F83F" w14:textId="77777777" w:rsidR="00C425D1" w:rsidRDefault="00C425D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0E78" w14:textId="77777777" w:rsidR="00AB181E" w:rsidRDefault="00224AA6">
    <w:pPr>
      <w:pStyle w:val="Kopfzeile"/>
    </w:pPr>
    <w:r>
      <w:t>ICLC-10 2023 - Document Template for Revised Abstract</w:t>
    </w:r>
    <w:r>
      <w:rPr>
        <w:lang w:val="en-US"/>
      </w:rPr>
      <w:t>s</w:t>
    </w:r>
  </w:p>
  <w:p w14:paraId="27DCCD3D"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111847486">
    <w:abstractNumId w:val="0"/>
  </w:num>
  <w:num w:numId="2" w16cid:durableId="1015958012">
    <w:abstractNumId w:val="1"/>
  </w:num>
  <w:num w:numId="3" w16cid:durableId="8074750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2A625D"/>
    <w:rsid w:val="004C5262"/>
    <w:rsid w:val="00694682"/>
    <w:rsid w:val="00717483"/>
    <w:rsid w:val="0075069B"/>
    <w:rsid w:val="00782BA5"/>
    <w:rsid w:val="009D4AD9"/>
    <w:rsid w:val="00A54BA3"/>
    <w:rsid w:val="00AB181E"/>
    <w:rsid w:val="00B22F8E"/>
    <w:rsid w:val="00B37E7C"/>
    <w:rsid w:val="00B56367"/>
    <w:rsid w:val="00C425D1"/>
    <w:rsid w:val="00DB1137"/>
    <w:rsid w:val="00EA6451"/>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B172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BesuchterLink">
    <w:name w:val="FollowedHyperlink"/>
    <w:basedOn w:val="Absatz-Standardschriftart"/>
    <w:uiPriority w:val="99"/>
    <w:semiHidden/>
    <w:unhideWhenUsed/>
    <w:rsid w:val="002A625D"/>
    <w:rPr>
      <w:color w:val="954F72" w:themeColor="followedHyperlink"/>
      <w:u w:val="single"/>
    </w:rPr>
  </w:style>
  <w:style w:type="paragraph" w:styleId="Literaturverzeichnis">
    <w:name w:val="Bibliography"/>
    <w:basedOn w:val="Standard"/>
    <w:next w:val="Standard"/>
    <w:uiPriority w:val="37"/>
    <w:unhideWhenUsed/>
    <w:rsid w:val="00B37E7C"/>
    <w:pPr>
      <w:spacing w:line="240" w:lineRule="exact"/>
      <w:ind w:left="720" w:hanging="720"/>
    </w:pPr>
  </w:style>
  <w:style w:type="character" w:styleId="NichtaufgelsteErwhnung">
    <w:name w:val="Unresolved Mention"/>
    <w:basedOn w:val="Absatz-Standardschriftart"/>
    <w:uiPriority w:val="99"/>
    <w:semiHidden/>
    <w:unhideWhenUsed/>
    <w:rsid w:val="00B37E7C"/>
    <w:rPr>
      <w:color w:val="605E5C"/>
      <w:shd w:val="clear" w:color="auto" w:fill="E1DFDD"/>
    </w:rPr>
  </w:style>
  <w:style w:type="character" w:styleId="Kommentarzeichen">
    <w:name w:val="annotation reference"/>
    <w:basedOn w:val="Absatz-Standardschriftart"/>
    <w:uiPriority w:val="99"/>
    <w:semiHidden/>
    <w:unhideWhenUsed/>
    <w:rsid w:val="00EA6451"/>
    <w:rPr>
      <w:sz w:val="16"/>
      <w:szCs w:val="16"/>
    </w:rPr>
  </w:style>
  <w:style w:type="paragraph" w:styleId="Kommentartext">
    <w:name w:val="annotation text"/>
    <w:basedOn w:val="Standard"/>
    <w:link w:val="KommentartextZchn"/>
    <w:uiPriority w:val="99"/>
    <w:unhideWhenUsed/>
    <w:rsid w:val="00EA6451"/>
    <w:pPr>
      <w:spacing w:line="240" w:lineRule="auto"/>
    </w:pPr>
    <w:rPr>
      <w:sz w:val="20"/>
      <w:szCs w:val="20"/>
    </w:rPr>
  </w:style>
  <w:style w:type="character" w:customStyle="1" w:styleId="KommentartextZchn">
    <w:name w:val="Kommentartext Zchn"/>
    <w:basedOn w:val="Absatz-Standardschriftart"/>
    <w:link w:val="Kommentartext"/>
    <w:uiPriority w:val="99"/>
    <w:rsid w:val="00EA6451"/>
    <w:rPr>
      <w:rFonts w:ascii="Libertinus Serif" w:hAnsi="Libertinus Serif"/>
      <w:sz w:val="20"/>
      <w:szCs w:val="20"/>
    </w:rPr>
  </w:style>
  <w:style w:type="paragraph" w:styleId="Kommentarthema">
    <w:name w:val="annotation subject"/>
    <w:basedOn w:val="Kommentartext"/>
    <w:next w:val="Kommentartext"/>
    <w:link w:val="KommentarthemaZchn"/>
    <w:uiPriority w:val="99"/>
    <w:semiHidden/>
    <w:unhideWhenUsed/>
    <w:rsid w:val="00EA6451"/>
    <w:rPr>
      <w:b/>
      <w:bCs/>
    </w:rPr>
  </w:style>
  <w:style w:type="character" w:customStyle="1" w:styleId="KommentarthemaZchn">
    <w:name w:val="Kommentarthema Zchn"/>
    <w:basedOn w:val="KommentartextZchn"/>
    <w:link w:val="Kommentarthema"/>
    <w:uiPriority w:val="99"/>
    <w:semiHidden/>
    <w:rsid w:val="00EA6451"/>
    <w:rPr>
      <w:rFonts w:ascii="Libertinus Serif" w:hAnsi="Libertinu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ella.neumann@ifaar.rwth-aache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2280</Words>
  <Characters>14371</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Stella Neumann</cp:lastModifiedBy>
  <cp:revision>6</cp:revision>
  <cp:lastPrinted>2023-05-05T17:06:00Z</cp:lastPrinted>
  <dcterms:created xsi:type="dcterms:W3CDTF">2023-04-25T16:39:00Z</dcterms:created>
  <dcterms:modified xsi:type="dcterms:W3CDTF">2023-05-05T17:09:00Z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id="I7jdJA5e"/&gt;&lt;style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ies>
</file>