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96D37" w14:textId="40A6DA8F" w:rsidR="00AB181E" w:rsidRDefault="00D671D8">
      <w:pPr>
        <w:pStyle w:val="Author"/>
      </w:pPr>
      <w:r>
        <w:t>Olaf Mikkelsen / Stefan Hartmann</w:t>
      </w:r>
    </w:p>
    <w:p w14:paraId="688FD04A" w14:textId="4AFDC0A7" w:rsidR="00AB181E" w:rsidRDefault="00B72D73">
      <w:pPr>
        <w:pStyle w:val="Title"/>
      </w:pPr>
      <w:r>
        <w:t>Future constructions in English and Norwegian</w:t>
      </w:r>
    </w:p>
    <w:p w14:paraId="703683B7" w14:textId="5A04F538" w:rsidR="00AB181E" w:rsidRDefault="00B72D73">
      <w:pPr>
        <w:pStyle w:val="Subtitle"/>
      </w:pPr>
      <w:r>
        <w:t>A contrastive corpus study</w:t>
      </w:r>
    </w:p>
    <w:p w14:paraId="766805B4" w14:textId="608BBE25" w:rsidR="00AB181E" w:rsidRDefault="00224AA6">
      <w:pPr>
        <w:pStyle w:val="Keywords"/>
        <w:jc w:val="left"/>
      </w:pPr>
      <w:r>
        <w:rPr>
          <w:b/>
          <w:szCs w:val="20"/>
        </w:rPr>
        <w:t>Keywords:</w:t>
      </w:r>
      <w:r>
        <w:rPr>
          <w:szCs w:val="20"/>
        </w:rPr>
        <w:t xml:space="preserve"> </w:t>
      </w:r>
      <w:r w:rsidR="00B72D73">
        <w:rPr>
          <w:szCs w:val="20"/>
        </w:rPr>
        <w:t>Future constructions; English; Norwegian; Complexity principle</w:t>
      </w:r>
    </w:p>
    <w:p w14:paraId="11D922C0" w14:textId="77777777" w:rsidR="00D671D8" w:rsidRDefault="00D671D8" w:rsidP="00D671D8">
      <w:r>
        <w:t xml:space="preserve">The choice between the future constructions will/shall and BE going to is certainly among the most well-investigated topics in English linguistics (see e.g. </w:t>
      </w:r>
      <w:proofErr w:type="spellStart"/>
      <w:r>
        <w:t>Binnick</w:t>
      </w:r>
      <w:proofErr w:type="spellEnd"/>
      <w:r>
        <w:t xml:space="preserve"> 1971, </w:t>
      </w:r>
      <w:proofErr w:type="spellStart"/>
      <w:r>
        <w:t>Haegeman</w:t>
      </w:r>
      <w:proofErr w:type="spellEnd"/>
      <w:r>
        <w:t xml:space="preserve"> 1989, </w:t>
      </w:r>
      <w:proofErr w:type="spellStart"/>
      <w:r>
        <w:t>Szmrecsanyi</w:t>
      </w:r>
      <w:proofErr w:type="spellEnd"/>
      <w:r>
        <w:t xml:space="preserve"> 2003, </w:t>
      </w:r>
      <w:proofErr w:type="spellStart"/>
      <w:r>
        <w:t>Hilpert</w:t>
      </w:r>
      <w:proofErr w:type="spellEnd"/>
      <w:r>
        <w:t xml:space="preserve"> 2008, Denis &amp; </w:t>
      </w:r>
      <w:proofErr w:type="spellStart"/>
      <w:r>
        <w:t>Tagliamonte</w:t>
      </w:r>
      <w:proofErr w:type="spellEnd"/>
      <w:r>
        <w:t xml:space="preserve"> 2018, among many others). A host of semantic, pragmatic, and syntactic factors has been suggested to drive the alternation between these constructions. In this talk, we revisit one particular aspect pertaining to the syntactic factors that have been said to influence the alternation: Based on spoken data from both British and American English corpora, </w:t>
      </w:r>
      <w:proofErr w:type="spellStart"/>
      <w:r>
        <w:t>Szmrecsanyi</w:t>
      </w:r>
      <w:proofErr w:type="spellEnd"/>
      <w:r>
        <w:t xml:space="preserve"> (2003) has shown that the alternation is sensitive to syntactic complexity. While going to is preferred in syntactically complex contexts – e.g. if-clauses, contexts of negation, and generally in longer sentences –, will/shall is preferred in syntactically independent contexts and shorter sentences. </w:t>
      </w:r>
      <w:proofErr w:type="spellStart"/>
      <w:r>
        <w:t>Rohdenburg’s</w:t>
      </w:r>
      <w:proofErr w:type="spellEnd"/>
      <w:r>
        <w:t xml:space="preserve"> (1996) “complexity principle”, according to which “[</w:t>
      </w:r>
      <w:proofErr w:type="spellStart"/>
      <w:r>
        <w:t>i</w:t>
      </w:r>
      <w:proofErr w:type="spellEnd"/>
      <w:r>
        <w:t xml:space="preserve">]n the case of more or less explicit grammatical options the more explicit one(s) will tend to be </w:t>
      </w:r>
      <w:proofErr w:type="spellStart"/>
      <w:r>
        <w:t>favored</w:t>
      </w:r>
      <w:proofErr w:type="spellEnd"/>
      <w:r>
        <w:t xml:space="preserve"> in cognitively more complex environments” offers an explanation for this observation, especially if we follow Hopper &amp; Traugott (2003: 73), who characterize BE going to as “more substantive (phonologically longer) and therefore more accessible to hearers” than will.</w:t>
      </w:r>
    </w:p>
    <w:p w14:paraId="346E5D25" w14:textId="24DB0EB7" w:rsidR="00AB181E" w:rsidRDefault="00D671D8" w:rsidP="00D671D8">
      <w:proofErr w:type="spellStart"/>
      <w:r>
        <w:t>Szmrecsanyi’s</w:t>
      </w:r>
      <w:proofErr w:type="spellEnd"/>
      <w:r>
        <w:t xml:space="preserve"> analysis is based on a series of </w:t>
      </w:r>
      <w:proofErr w:type="spellStart"/>
      <w:r>
        <w:t>monofactorial</w:t>
      </w:r>
      <w:proofErr w:type="spellEnd"/>
      <w:r>
        <w:t xml:space="preserve"> analyses. The aim of the present paper is twofold: On the one hand, (a) we replicate </w:t>
      </w:r>
      <w:proofErr w:type="spellStart"/>
      <w:r>
        <w:t>Szmrecsanyi’s</w:t>
      </w:r>
      <w:proofErr w:type="spellEnd"/>
      <w:r>
        <w:t xml:space="preserve"> study using multifactorial statistical modelling drawing on new datasets. On the other hand, (b) we address the question of whether this account can be generalized to other languages that show a similar alternation as well. A particularly well-suited candidate for the latter is Norwegian, in which both </w:t>
      </w:r>
      <w:proofErr w:type="spellStart"/>
      <w:r>
        <w:t>skal</w:t>
      </w:r>
      <w:proofErr w:type="spellEnd"/>
      <w:r>
        <w:t>/</w:t>
      </w:r>
      <w:proofErr w:type="spellStart"/>
      <w:r>
        <w:t>vil</w:t>
      </w:r>
      <w:proofErr w:type="spellEnd"/>
      <w:r>
        <w:t xml:space="preserve"> and </w:t>
      </w:r>
      <w:proofErr w:type="spellStart"/>
      <w:r>
        <w:t>kommer</w:t>
      </w:r>
      <w:proofErr w:type="spellEnd"/>
      <w:r>
        <w:t xml:space="preserve"> </w:t>
      </w:r>
      <w:proofErr w:type="spellStart"/>
      <w:r>
        <w:t>til</w:t>
      </w:r>
      <w:proofErr w:type="spellEnd"/>
      <w:r>
        <w:t xml:space="preserve"> å are used to indicate future time reference. For the replication study (a), we use samples from the spoken BNC 2014 and the Open American National Corpus (OANC). For the comparative study (b), we use spoken data from the Norwegian Speech Corpus (</w:t>
      </w:r>
      <w:proofErr w:type="spellStart"/>
      <w:r>
        <w:t>NoTa</w:t>
      </w:r>
      <w:proofErr w:type="spellEnd"/>
      <w:r>
        <w:t xml:space="preserve">) and the </w:t>
      </w:r>
      <w:proofErr w:type="spellStart"/>
      <w:r>
        <w:t>BigBrother</w:t>
      </w:r>
      <w:proofErr w:type="spellEnd"/>
      <w:r>
        <w:t xml:space="preserve"> corpus. The data are annotated using the clause type and syntactic context variables operationalized by </w:t>
      </w:r>
      <w:proofErr w:type="spellStart"/>
      <w:r>
        <w:t>Szmrecsanyi</w:t>
      </w:r>
      <w:proofErr w:type="spellEnd"/>
      <w:r>
        <w:t xml:space="preserve"> (2003). The results confirm </w:t>
      </w:r>
      <w:proofErr w:type="spellStart"/>
      <w:r>
        <w:t>Szmrecsanyi’s</w:t>
      </w:r>
      <w:proofErr w:type="spellEnd"/>
      <w:r>
        <w:t xml:space="preserve"> observations for the English data, but syntactic complexity correlates with the shorter form </w:t>
      </w:r>
      <w:proofErr w:type="spellStart"/>
      <w:r>
        <w:t>skal</w:t>
      </w:r>
      <w:proofErr w:type="spellEnd"/>
      <w:r>
        <w:t xml:space="preserve"> in the Norwegian data. This suggests that at least in the case of Norwegian, other factors are more influential; for English, it raises the question of whether the complexity principle can adequately account for the choice between constructions or if the observed complexity effects are actually side effects of other (e.g. semantic and pragmatic) factors.</w:t>
      </w:r>
      <w:r>
        <w:t xml:space="preserve"> </w:t>
      </w:r>
    </w:p>
    <w:p w14:paraId="6720DF2F" w14:textId="77777777" w:rsidR="00AB181E" w:rsidRDefault="00224AA6">
      <w:pPr>
        <w:pStyle w:val="TableofAuthorities"/>
      </w:pPr>
      <w:r>
        <w:t>References</w:t>
      </w:r>
    </w:p>
    <w:p w14:paraId="2DFD620B" w14:textId="77777777" w:rsidR="00AC2425" w:rsidRPr="00AC2425" w:rsidRDefault="00AC2425" w:rsidP="00AC2425">
      <w:pPr>
        <w:pStyle w:val="Literaturverzeichnis1"/>
        <w:ind w:left="397" w:hanging="397"/>
        <w:rPr>
          <w:lang w:val="en-DE"/>
        </w:rPr>
      </w:pPr>
      <w:r w:rsidRPr="00AC2425">
        <w:rPr>
          <w:lang w:val="en-DE"/>
        </w:rPr>
        <w:t>Binnick, Robert I. (1971): Will and be going to. In: Papers from the Seventh Regional Meeting of the Chicago Linguistics Society. Chicago: Chicago Linguistic Society, pp. 40–53.</w:t>
      </w:r>
    </w:p>
    <w:p w14:paraId="39D96407" w14:textId="77777777" w:rsidR="00AC2425" w:rsidRDefault="00AC2425" w:rsidP="00AE1DB2">
      <w:pPr>
        <w:pStyle w:val="Literaturverzeichnis1"/>
        <w:ind w:left="397" w:hanging="397"/>
        <w:rPr>
          <w:lang w:val="en-DE"/>
        </w:rPr>
      </w:pPr>
    </w:p>
    <w:p w14:paraId="3A46CE44" w14:textId="61815652" w:rsidR="00AE1DB2" w:rsidRPr="00AE1DB2" w:rsidRDefault="00AE1DB2" w:rsidP="00AE1DB2">
      <w:pPr>
        <w:pStyle w:val="Literaturverzeichnis1"/>
        <w:ind w:left="397" w:hanging="397"/>
        <w:rPr>
          <w:lang w:val="en-DE"/>
        </w:rPr>
      </w:pPr>
      <w:r w:rsidRPr="00AE1DB2">
        <w:rPr>
          <w:lang w:val="en-DE"/>
        </w:rPr>
        <w:lastRenderedPageBreak/>
        <w:t xml:space="preserve">Denis, Derek/Tagliamonte, Sali A. (2018): The changing future : competition, specialization and reorganization in the contemporary English future temporal reference system. In: English Language and Linguistics, 22(3), pp. 403–430. </w:t>
      </w:r>
      <w:r>
        <w:rPr>
          <w:lang w:val="en-DE"/>
        </w:rPr>
        <w:fldChar w:fldCharType="begin"/>
      </w:r>
      <w:r>
        <w:rPr>
          <w:lang w:val="en-DE"/>
        </w:rPr>
        <w:instrText xml:space="preserve"> HYPERLINK "https://doi.org/10.1017/S1360674316000551" </w:instrText>
      </w:r>
      <w:r>
        <w:rPr>
          <w:lang w:val="en-DE"/>
        </w:rPr>
      </w:r>
      <w:r>
        <w:rPr>
          <w:lang w:val="en-DE"/>
        </w:rPr>
        <w:fldChar w:fldCharType="separate"/>
      </w:r>
      <w:r w:rsidRPr="00AE1DB2">
        <w:rPr>
          <w:rStyle w:val="Hyperlink"/>
          <w:lang w:val="en-DE"/>
        </w:rPr>
        <w:t>http</w:t>
      </w:r>
      <w:r w:rsidRPr="00AE1DB2">
        <w:rPr>
          <w:rStyle w:val="Hyperlink"/>
          <w:lang w:val="de-DE"/>
        </w:rPr>
        <w:t>s</w:t>
      </w:r>
      <w:r w:rsidRPr="00AE1DB2">
        <w:rPr>
          <w:rStyle w:val="Hyperlink"/>
          <w:lang w:val="en-DE"/>
        </w:rPr>
        <w:t>://doi.org/10.1017/S1360674316000551</w:t>
      </w:r>
      <w:r>
        <w:rPr>
          <w:lang w:val="en-DE"/>
        </w:rPr>
        <w:fldChar w:fldCharType="end"/>
      </w:r>
      <w:r w:rsidRPr="00AE1DB2">
        <w:rPr>
          <w:lang w:val="en-DE"/>
        </w:rPr>
        <w:t>.</w:t>
      </w:r>
    </w:p>
    <w:p w14:paraId="76BB8170" w14:textId="7E15FFF9" w:rsidR="00B82DD4" w:rsidRDefault="00B82DD4" w:rsidP="00B73132">
      <w:pPr>
        <w:pStyle w:val="Literaturverzeichnis1"/>
        <w:ind w:left="397" w:hanging="397"/>
        <w:rPr>
          <w:lang w:val="en-DE"/>
        </w:rPr>
      </w:pPr>
      <w:r w:rsidRPr="00B82DD4">
        <w:rPr>
          <w:lang w:val="en-DE"/>
        </w:rPr>
        <w:t>Haegeman, Liliane (1989): Be going to and will: A pragmatic account. In: Journal of Linguistics, 25, pp. 291–317.</w:t>
      </w:r>
    </w:p>
    <w:p w14:paraId="41BA3396" w14:textId="77777777" w:rsidR="00B82DD4" w:rsidRPr="00B82DD4" w:rsidRDefault="00B82DD4" w:rsidP="00B82DD4">
      <w:pPr>
        <w:pStyle w:val="Literaturverzeichnis1"/>
        <w:ind w:left="397" w:hanging="397"/>
        <w:rPr>
          <w:lang w:val="en-DE"/>
        </w:rPr>
      </w:pPr>
      <w:r w:rsidRPr="00B82DD4">
        <w:rPr>
          <w:lang w:val="en-DE"/>
        </w:rPr>
        <w:t>Hilpert, Martin (2008): Germanic Future Constructions: A Usage-Based Approach to Language Change. Amsterdam, Philadelphia: John Benjamins (Constructional Approaches to Language, 7).</w:t>
      </w:r>
    </w:p>
    <w:p w14:paraId="1CF91AAA" w14:textId="2D4CCF5A" w:rsidR="00B82DD4" w:rsidRDefault="00B82DD4" w:rsidP="00B73132">
      <w:pPr>
        <w:pStyle w:val="Literaturverzeichnis1"/>
        <w:ind w:left="397" w:hanging="397"/>
        <w:rPr>
          <w:lang w:val="en-DE"/>
        </w:rPr>
      </w:pPr>
      <w:r w:rsidRPr="00B82DD4">
        <w:rPr>
          <w:lang w:val="en-DE"/>
        </w:rPr>
        <w:t>Hopper, Paul J./Traugott, Elizabeth Closs (2003): Grammaticalization. 2nd edn. Cambridge: Cambridge University Press.</w:t>
      </w:r>
    </w:p>
    <w:p w14:paraId="6AE589C7" w14:textId="6FC613F9" w:rsidR="00B73132" w:rsidRPr="00B73132" w:rsidRDefault="00B73132" w:rsidP="00B73132">
      <w:pPr>
        <w:pStyle w:val="Literaturverzeichnis1"/>
        <w:ind w:left="397" w:hanging="397"/>
        <w:rPr>
          <w:lang w:val="en-DE"/>
        </w:rPr>
      </w:pPr>
      <w:r w:rsidRPr="00B73132">
        <w:rPr>
          <w:lang w:val="en-DE"/>
        </w:rPr>
        <w:t>Rohdenburg, Günter (1996): Cognitive complexity and increased grammatical explicitness in English. In: Cognitive Linguistics, 7(2), pp. 149–182.</w:t>
      </w:r>
    </w:p>
    <w:p w14:paraId="7C828693" w14:textId="3B74161F" w:rsidR="00B73132" w:rsidRPr="00B73132" w:rsidRDefault="00B73132" w:rsidP="00B73132">
      <w:pPr>
        <w:pStyle w:val="Literaturverzeichnis1"/>
        <w:ind w:left="397" w:hanging="397"/>
        <w:rPr>
          <w:lang w:val="en-DE"/>
        </w:rPr>
      </w:pPr>
      <w:r w:rsidRPr="00B73132">
        <w:rPr>
          <w:lang w:val="en-DE"/>
        </w:rPr>
        <w:t>Szmrecsanyi, Benedikt (2003): Be going to versus will/shall: Does syntax matter? In: Journal of English Linguistics, 31(4), pp. 295–323.</w:t>
      </w:r>
    </w:p>
    <w:p w14:paraId="27E9935D" w14:textId="77777777" w:rsidR="00AB181E" w:rsidRDefault="00224AA6">
      <w:pPr>
        <w:pStyle w:val="Heading1"/>
      </w:pPr>
      <w:r>
        <w:t>Contact information</w:t>
      </w:r>
    </w:p>
    <w:p w14:paraId="5FE99B18" w14:textId="632A3CB7" w:rsidR="00AB181E" w:rsidRDefault="00D671D8">
      <w:pPr>
        <w:rPr>
          <w:rStyle w:val="Strong"/>
        </w:rPr>
      </w:pPr>
      <w:r>
        <w:rPr>
          <w:rStyle w:val="Strong"/>
        </w:rPr>
        <w:t>Olaf Mikkelsen</w:t>
      </w:r>
    </w:p>
    <w:p w14:paraId="449322EE" w14:textId="194A89B3" w:rsidR="00D671D8" w:rsidRPr="00D671D8" w:rsidRDefault="00D671D8">
      <w:r w:rsidRPr="00D671D8">
        <w:t xml:space="preserve">Adam Mickiewicz University in </w:t>
      </w:r>
      <w:proofErr w:type="spellStart"/>
      <w:r w:rsidRPr="00D671D8">
        <w:t>Poznań</w:t>
      </w:r>
      <w:proofErr w:type="spellEnd"/>
      <w:r>
        <w:t xml:space="preserve"> / Université Paris 8</w:t>
      </w:r>
    </w:p>
    <w:p w14:paraId="4BCA5DA8" w14:textId="79AC2401" w:rsidR="00AB181E" w:rsidRDefault="00000000">
      <w:hyperlink r:id="rId7">
        <w:proofErr w:type="spellStart"/>
        <w:r w:rsidR="00D671D8">
          <w:rPr>
            <w:rStyle w:val="Hyperlink"/>
          </w:rPr>
          <w:t>olaf.mikkelsen</w:t>
        </w:r>
      </w:hyperlink>
      <w:r w:rsidR="00D671D8">
        <w:rPr>
          <w:rStyle w:val="Hyperlink"/>
        </w:rPr>
        <w:t>@gmail.com</w:t>
      </w:r>
      <w:proofErr w:type="spellEnd"/>
    </w:p>
    <w:p w14:paraId="2D77CA07" w14:textId="77777777" w:rsidR="00AB181E" w:rsidRDefault="00AB181E">
      <w:pPr>
        <w:pStyle w:val="Literaturverzeichnis1"/>
        <w:ind w:left="0" w:firstLine="0"/>
      </w:pPr>
    </w:p>
    <w:p w14:paraId="4B92ECC4" w14:textId="5E38529E" w:rsidR="00D671D8" w:rsidRDefault="00D671D8" w:rsidP="00D671D8">
      <w:pPr>
        <w:rPr>
          <w:rStyle w:val="Strong"/>
        </w:rPr>
      </w:pPr>
      <w:r>
        <w:rPr>
          <w:rStyle w:val="Strong"/>
        </w:rPr>
        <w:t>Stefan Hartmann</w:t>
      </w:r>
    </w:p>
    <w:p w14:paraId="5E92030D" w14:textId="4EB45E30" w:rsidR="00D671D8" w:rsidRPr="00D671D8" w:rsidRDefault="00D671D8" w:rsidP="00D671D8">
      <w:r>
        <w:t>HHU Düsseldorf</w:t>
      </w:r>
    </w:p>
    <w:p w14:paraId="228C007C" w14:textId="3CB36137" w:rsidR="00D671D8" w:rsidRDefault="00D671D8" w:rsidP="00D671D8">
      <w:hyperlink r:id="rId8">
        <w:proofErr w:type="spellStart"/>
        <w:r>
          <w:rPr>
            <w:rStyle w:val="Hyperlink"/>
          </w:rPr>
          <w:t>hartmast@</w:t>
        </w:r>
        <w:r>
          <w:rPr>
            <w:rStyle w:val="Hyperlink"/>
          </w:rPr>
          <w:t>h</w:t>
        </w:r>
        <w:r>
          <w:rPr>
            <w:rStyle w:val="Hyperlink"/>
          </w:rPr>
          <w:t>hu.de</w:t>
        </w:r>
        <w:proofErr w:type="spellEnd"/>
      </w:hyperlink>
    </w:p>
    <w:p w14:paraId="50724A22" w14:textId="77777777" w:rsidR="00D671D8" w:rsidRDefault="00D671D8">
      <w:pPr>
        <w:pStyle w:val="Literaturverzeichnis1"/>
        <w:ind w:left="0" w:firstLine="0"/>
      </w:pPr>
    </w:p>
    <w:p w14:paraId="678E39C5" w14:textId="77777777" w:rsidR="00AB181E" w:rsidRDefault="00AB181E">
      <w:pPr>
        <w:pStyle w:val="Literaturverzeichnis1"/>
        <w:ind w:left="0" w:firstLine="0"/>
      </w:pPr>
    </w:p>
    <w:sectPr w:rsidR="00AB181E">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F3B2" w14:textId="77777777" w:rsidR="00565C59" w:rsidRDefault="00565C59">
      <w:pPr>
        <w:spacing w:before="0" w:line="240" w:lineRule="auto"/>
      </w:pPr>
      <w:r>
        <w:separator/>
      </w:r>
    </w:p>
  </w:endnote>
  <w:endnote w:type="continuationSeparator" w:id="0">
    <w:p w14:paraId="59D3B573" w14:textId="77777777" w:rsidR="00565C59" w:rsidRDefault="00565C5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embedRegular r:id="rId1" w:fontKey="{F75D39BC-299A-3A43-93EB-6E41500347F4}"/>
    <w:embedBold r:id="rId2" w:fontKey="{35ED77C0-9551-1E43-A42A-7E3E4B3601C9}"/>
  </w:font>
  <w:font w:name="Tahoma">
    <w:panose1 w:val="020B0604030504040204"/>
    <w:charset w:val="00"/>
    <w:family w:val="swiss"/>
    <w:pitch w:val="variable"/>
    <w:sig w:usb0="E1002EFF" w:usb1="C000605B" w:usb2="00000029" w:usb3="00000000" w:csb0="000101FF" w:csb1="00000000"/>
    <w:embedRegular r:id="rId3" w:fontKey="{AABB1BA5-EFD8-4845-A071-E14991FBA737}"/>
    <w:embedBold r:id="rId4" w:fontKey="{1173D185-DB5A-3147-B8D4-D42973A6D0F0}"/>
    <w:embedItalic r:id="rId5" w:fontKey="{17EAFC7A-75A9-734D-A2C2-44026832DD6B}"/>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9" w:fontKey="{7192E68C-1EC3-474B-BC6B-42A63F012A96}"/>
    <w:embedBold r:id="rId10" w:fontKey="{90B287D7-EEF1-814E-9C39-C1D016FC9030}"/>
  </w:font>
  <w:font w:name="Times New Roman">
    <w:altName w:val="Times New Roman PSMT"/>
    <w:panose1 w:val="02020603050405020304"/>
    <w:charset w:val="00"/>
    <w:family w:val="roman"/>
    <w:pitch w:val="variable"/>
    <w:sig w:usb0="E0002EFF" w:usb1="C000785B" w:usb2="00000009" w:usb3="00000000" w:csb0="000001FF" w:csb1="00000000"/>
    <w:embedRegular r:id="rId11" w:fontKey="{52309EB8-6133-E645-877A-A6E053EECD4E}"/>
    <w:embedBold r:id="rId12" w:fontKey="{087C18AE-D54D-2346-874B-00724A89FA82}"/>
    <w:embedItalic r:id="rId13" w:fontKey="{7D1D009C-C13C-6B44-B295-93A9370C64B9}"/>
    <w:embedBoldItalic r:id="rId14" w:fontKey="{D62AB566-8291-7B4A-BE7F-5E43D31ACA06}"/>
  </w:font>
  <w:font w:name="OpenSymbol">
    <w:altName w:val="Arial Unicode MS"/>
    <w:panose1 w:val="020B0604020202020204"/>
    <w:charset w:val="00"/>
    <w:family w:val="auto"/>
    <w:pitch w:val="variable"/>
    <w:sig w:usb0="800000AF" w:usb1="1001ECEA" w:usb2="00000000" w:usb3="00000000" w:csb0="80000001" w:csb1="00000000"/>
    <w:embedRegular r:id="rId15" w:fontKey="{D7091E1C-5BE6-DC4B-A1A0-B3596E8E5533}"/>
  </w:font>
  <w:font w:name="Liberation Sans">
    <w:panose1 w:val="020B0604020202020204"/>
    <w:charset w:val="00"/>
    <w:family w:val="swiss"/>
    <w:pitch w:val="variable"/>
    <w:sig w:usb0="E0000AFF" w:usb1="500078FF" w:usb2="00000021" w:usb3="00000000" w:csb0="000001BF" w:csb1="00000000"/>
    <w:embedBold r:id="rId16" w:fontKey="{1E6737ED-7581-ED49-85A8-A5ECF28B6046}"/>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1" w:fontKey="{3C2EEA70-0CB4-D146-88C0-F65465C3AA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E3B0"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68869919" w14:textId="77777777" w:rsidR="00AB181E" w:rsidRDefault="00AB181E">
    <w:pPr>
      <w:pStyle w:val="Footer"/>
    </w:pPr>
  </w:p>
  <w:p w14:paraId="0EAC3CD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C91B0" w14:textId="77777777" w:rsidR="00565C59" w:rsidRDefault="00565C59">
      <w:pPr>
        <w:rPr>
          <w:sz w:val="12"/>
        </w:rPr>
      </w:pPr>
      <w:r>
        <w:separator/>
      </w:r>
    </w:p>
  </w:footnote>
  <w:footnote w:type="continuationSeparator" w:id="0">
    <w:p w14:paraId="3A586EF3" w14:textId="77777777" w:rsidR="00565C59" w:rsidRDefault="00565C59">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BEA6" w14:textId="77777777" w:rsidR="00AB181E" w:rsidRDefault="00224AA6">
    <w:pPr>
      <w:pStyle w:val="Header"/>
    </w:pPr>
    <w:r>
      <w:t>ICLC-10 2023 - Document Template for Revised Abstract</w:t>
    </w:r>
    <w:r>
      <w:rPr>
        <w:lang w:val="en-US"/>
      </w:rPr>
      <w:t>s</w:t>
    </w:r>
  </w:p>
  <w:p w14:paraId="2C98B608"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427269064">
    <w:abstractNumId w:val="0"/>
  </w:num>
  <w:num w:numId="2" w16cid:durableId="16274990">
    <w:abstractNumId w:val="1"/>
  </w:num>
  <w:num w:numId="3" w16cid:durableId="209927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5"/>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4C5262"/>
    <w:rsid w:val="00550562"/>
    <w:rsid w:val="00565C59"/>
    <w:rsid w:val="00694682"/>
    <w:rsid w:val="00717483"/>
    <w:rsid w:val="007C41D2"/>
    <w:rsid w:val="009D4AD9"/>
    <w:rsid w:val="00A54BA3"/>
    <w:rsid w:val="00AB181E"/>
    <w:rsid w:val="00AC2425"/>
    <w:rsid w:val="00AE1DB2"/>
    <w:rsid w:val="00B22F8E"/>
    <w:rsid w:val="00B72D73"/>
    <w:rsid w:val="00B73132"/>
    <w:rsid w:val="00B82DD4"/>
    <w:rsid w:val="00C425D1"/>
    <w:rsid w:val="00D671D8"/>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2149"/>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FollowedHyperlink">
    <w:name w:val="FollowedHyperlink"/>
    <w:basedOn w:val="DefaultParagraphFont"/>
    <w:uiPriority w:val="99"/>
    <w:semiHidden/>
    <w:unhideWhenUsed/>
    <w:rsid w:val="00D671D8"/>
    <w:rPr>
      <w:color w:val="954F72" w:themeColor="followedHyperlink"/>
      <w:u w:val="single"/>
    </w:rPr>
  </w:style>
  <w:style w:type="character" w:styleId="UnresolvedMention">
    <w:name w:val="Unresolved Mention"/>
    <w:basedOn w:val="DefaultParagraphFont"/>
    <w:uiPriority w:val="99"/>
    <w:semiHidden/>
    <w:unhideWhenUsed/>
    <w:rsid w:val="00AE1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14703">
      <w:bodyDiv w:val="1"/>
      <w:marLeft w:val="0"/>
      <w:marRight w:val="0"/>
      <w:marTop w:val="0"/>
      <w:marBottom w:val="0"/>
      <w:divBdr>
        <w:top w:val="none" w:sz="0" w:space="0" w:color="auto"/>
        <w:left w:val="none" w:sz="0" w:space="0" w:color="auto"/>
        <w:bottom w:val="none" w:sz="0" w:space="0" w:color="auto"/>
        <w:right w:val="none" w:sz="0" w:space="0" w:color="auto"/>
      </w:divBdr>
      <w:divsChild>
        <w:div w:id="3867602">
          <w:marLeft w:val="480"/>
          <w:marRight w:val="0"/>
          <w:marTop w:val="0"/>
          <w:marBottom w:val="0"/>
          <w:divBdr>
            <w:top w:val="none" w:sz="0" w:space="0" w:color="auto"/>
            <w:left w:val="none" w:sz="0" w:space="0" w:color="auto"/>
            <w:bottom w:val="none" w:sz="0" w:space="0" w:color="auto"/>
            <w:right w:val="none" w:sz="0" w:space="0" w:color="auto"/>
          </w:divBdr>
          <w:divsChild>
            <w:div w:id="17859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4337">
      <w:bodyDiv w:val="1"/>
      <w:marLeft w:val="0"/>
      <w:marRight w:val="0"/>
      <w:marTop w:val="0"/>
      <w:marBottom w:val="0"/>
      <w:divBdr>
        <w:top w:val="none" w:sz="0" w:space="0" w:color="auto"/>
        <w:left w:val="none" w:sz="0" w:space="0" w:color="auto"/>
        <w:bottom w:val="none" w:sz="0" w:space="0" w:color="auto"/>
        <w:right w:val="none" w:sz="0" w:space="0" w:color="auto"/>
      </w:divBdr>
      <w:divsChild>
        <w:div w:id="1099719824">
          <w:marLeft w:val="480"/>
          <w:marRight w:val="0"/>
          <w:marTop w:val="0"/>
          <w:marBottom w:val="0"/>
          <w:divBdr>
            <w:top w:val="none" w:sz="0" w:space="0" w:color="auto"/>
            <w:left w:val="none" w:sz="0" w:space="0" w:color="auto"/>
            <w:bottom w:val="none" w:sz="0" w:space="0" w:color="auto"/>
            <w:right w:val="none" w:sz="0" w:space="0" w:color="auto"/>
          </w:divBdr>
          <w:divsChild>
            <w:div w:id="252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0842">
      <w:bodyDiv w:val="1"/>
      <w:marLeft w:val="0"/>
      <w:marRight w:val="0"/>
      <w:marTop w:val="0"/>
      <w:marBottom w:val="0"/>
      <w:divBdr>
        <w:top w:val="none" w:sz="0" w:space="0" w:color="auto"/>
        <w:left w:val="none" w:sz="0" w:space="0" w:color="auto"/>
        <w:bottom w:val="none" w:sz="0" w:space="0" w:color="auto"/>
        <w:right w:val="none" w:sz="0" w:space="0" w:color="auto"/>
      </w:divBdr>
      <w:divsChild>
        <w:div w:id="879166328">
          <w:marLeft w:val="480"/>
          <w:marRight w:val="0"/>
          <w:marTop w:val="0"/>
          <w:marBottom w:val="0"/>
          <w:divBdr>
            <w:top w:val="none" w:sz="0" w:space="0" w:color="auto"/>
            <w:left w:val="none" w:sz="0" w:space="0" w:color="auto"/>
            <w:bottom w:val="none" w:sz="0" w:space="0" w:color="auto"/>
            <w:right w:val="none" w:sz="0" w:space="0" w:color="auto"/>
          </w:divBdr>
          <w:divsChild>
            <w:div w:id="3868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4743">
      <w:bodyDiv w:val="1"/>
      <w:marLeft w:val="0"/>
      <w:marRight w:val="0"/>
      <w:marTop w:val="0"/>
      <w:marBottom w:val="0"/>
      <w:divBdr>
        <w:top w:val="none" w:sz="0" w:space="0" w:color="auto"/>
        <w:left w:val="none" w:sz="0" w:space="0" w:color="auto"/>
        <w:bottom w:val="none" w:sz="0" w:space="0" w:color="auto"/>
        <w:right w:val="none" w:sz="0" w:space="0" w:color="auto"/>
      </w:divBdr>
      <w:divsChild>
        <w:div w:id="990795289">
          <w:marLeft w:val="480"/>
          <w:marRight w:val="0"/>
          <w:marTop w:val="0"/>
          <w:marBottom w:val="0"/>
          <w:divBdr>
            <w:top w:val="none" w:sz="0" w:space="0" w:color="auto"/>
            <w:left w:val="none" w:sz="0" w:space="0" w:color="auto"/>
            <w:bottom w:val="none" w:sz="0" w:space="0" w:color="auto"/>
            <w:right w:val="none" w:sz="0" w:space="0" w:color="auto"/>
          </w:divBdr>
          <w:divsChild>
            <w:div w:id="19681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7517">
      <w:bodyDiv w:val="1"/>
      <w:marLeft w:val="0"/>
      <w:marRight w:val="0"/>
      <w:marTop w:val="0"/>
      <w:marBottom w:val="0"/>
      <w:divBdr>
        <w:top w:val="none" w:sz="0" w:space="0" w:color="auto"/>
        <w:left w:val="none" w:sz="0" w:space="0" w:color="auto"/>
        <w:bottom w:val="none" w:sz="0" w:space="0" w:color="auto"/>
        <w:right w:val="none" w:sz="0" w:space="0" w:color="auto"/>
      </w:divBdr>
    </w:div>
    <w:div w:id="669136255">
      <w:bodyDiv w:val="1"/>
      <w:marLeft w:val="0"/>
      <w:marRight w:val="0"/>
      <w:marTop w:val="0"/>
      <w:marBottom w:val="0"/>
      <w:divBdr>
        <w:top w:val="none" w:sz="0" w:space="0" w:color="auto"/>
        <w:left w:val="none" w:sz="0" w:space="0" w:color="auto"/>
        <w:bottom w:val="none" w:sz="0" w:space="0" w:color="auto"/>
        <w:right w:val="none" w:sz="0" w:space="0" w:color="auto"/>
      </w:divBdr>
      <w:divsChild>
        <w:div w:id="866910693">
          <w:marLeft w:val="480"/>
          <w:marRight w:val="0"/>
          <w:marTop w:val="0"/>
          <w:marBottom w:val="0"/>
          <w:divBdr>
            <w:top w:val="none" w:sz="0" w:space="0" w:color="auto"/>
            <w:left w:val="none" w:sz="0" w:space="0" w:color="auto"/>
            <w:bottom w:val="none" w:sz="0" w:space="0" w:color="auto"/>
            <w:right w:val="none" w:sz="0" w:space="0" w:color="auto"/>
          </w:divBdr>
          <w:divsChild>
            <w:div w:id="552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3383">
      <w:bodyDiv w:val="1"/>
      <w:marLeft w:val="0"/>
      <w:marRight w:val="0"/>
      <w:marTop w:val="0"/>
      <w:marBottom w:val="0"/>
      <w:divBdr>
        <w:top w:val="none" w:sz="0" w:space="0" w:color="auto"/>
        <w:left w:val="none" w:sz="0" w:space="0" w:color="auto"/>
        <w:bottom w:val="none" w:sz="0" w:space="0" w:color="auto"/>
        <w:right w:val="none" w:sz="0" w:space="0" w:color="auto"/>
      </w:divBdr>
      <w:divsChild>
        <w:div w:id="1485002909">
          <w:marLeft w:val="480"/>
          <w:marRight w:val="0"/>
          <w:marTop w:val="0"/>
          <w:marBottom w:val="0"/>
          <w:divBdr>
            <w:top w:val="none" w:sz="0" w:space="0" w:color="auto"/>
            <w:left w:val="none" w:sz="0" w:space="0" w:color="auto"/>
            <w:bottom w:val="none" w:sz="0" w:space="0" w:color="auto"/>
            <w:right w:val="none" w:sz="0" w:space="0" w:color="auto"/>
          </w:divBdr>
          <w:divsChild>
            <w:div w:id="9551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5554">
      <w:bodyDiv w:val="1"/>
      <w:marLeft w:val="0"/>
      <w:marRight w:val="0"/>
      <w:marTop w:val="0"/>
      <w:marBottom w:val="0"/>
      <w:divBdr>
        <w:top w:val="none" w:sz="0" w:space="0" w:color="auto"/>
        <w:left w:val="none" w:sz="0" w:space="0" w:color="auto"/>
        <w:bottom w:val="none" w:sz="0" w:space="0" w:color="auto"/>
        <w:right w:val="none" w:sz="0" w:space="0" w:color="auto"/>
      </w:divBdr>
      <w:divsChild>
        <w:div w:id="1204095345">
          <w:marLeft w:val="480"/>
          <w:marRight w:val="0"/>
          <w:marTop w:val="0"/>
          <w:marBottom w:val="0"/>
          <w:divBdr>
            <w:top w:val="none" w:sz="0" w:space="0" w:color="auto"/>
            <w:left w:val="none" w:sz="0" w:space="0" w:color="auto"/>
            <w:bottom w:val="none" w:sz="0" w:space="0" w:color="auto"/>
            <w:right w:val="none" w:sz="0" w:space="0" w:color="auto"/>
          </w:divBdr>
          <w:divsChild>
            <w:div w:id="7428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1213">
      <w:bodyDiv w:val="1"/>
      <w:marLeft w:val="0"/>
      <w:marRight w:val="0"/>
      <w:marTop w:val="0"/>
      <w:marBottom w:val="0"/>
      <w:divBdr>
        <w:top w:val="none" w:sz="0" w:space="0" w:color="auto"/>
        <w:left w:val="none" w:sz="0" w:space="0" w:color="auto"/>
        <w:bottom w:val="none" w:sz="0" w:space="0" w:color="auto"/>
        <w:right w:val="none" w:sz="0" w:space="0" w:color="auto"/>
      </w:divBdr>
      <w:divsChild>
        <w:div w:id="1346130849">
          <w:marLeft w:val="480"/>
          <w:marRight w:val="0"/>
          <w:marTop w:val="0"/>
          <w:marBottom w:val="0"/>
          <w:divBdr>
            <w:top w:val="none" w:sz="0" w:space="0" w:color="auto"/>
            <w:left w:val="none" w:sz="0" w:space="0" w:color="auto"/>
            <w:bottom w:val="none" w:sz="0" w:space="0" w:color="auto"/>
            <w:right w:val="none" w:sz="0" w:space="0" w:color="auto"/>
          </w:divBdr>
          <w:divsChild>
            <w:div w:id="9819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239">
      <w:bodyDiv w:val="1"/>
      <w:marLeft w:val="0"/>
      <w:marRight w:val="0"/>
      <w:marTop w:val="0"/>
      <w:marBottom w:val="0"/>
      <w:divBdr>
        <w:top w:val="none" w:sz="0" w:space="0" w:color="auto"/>
        <w:left w:val="none" w:sz="0" w:space="0" w:color="auto"/>
        <w:bottom w:val="none" w:sz="0" w:space="0" w:color="auto"/>
        <w:right w:val="none" w:sz="0" w:space="0" w:color="auto"/>
      </w:divBdr>
      <w:divsChild>
        <w:div w:id="201015269">
          <w:marLeft w:val="480"/>
          <w:marRight w:val="0"/>
          <w:marTop w:val="0"/>
          <w:marBottom w:val="0"/>
          <w:divBdr>
            <w:top w:val="none" w:sz="0" w:space="0" w:color="auto"/>
            <w:left w:val="none" w:sz="0" w:space="0" w:color="auto"/>
            <w:bottom w:val="none" w:sz="0" w:space="0" w:color="auto"/>
            <w:right w:val="none" w:sz="0" w:space="0" w:color="auto"/>
          </w:divBdr>
          <w:divsChild>
            <w:div w:id="13958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43">
      <w:bodyDiv w:val="1"/>
      <w:marLeft w:val="0"/>
      <w:marRight w:val="0"/>
      <w:marTop w:val="0"/>
      <w:marBottom w:val="0"/>
      <w:divBdr>
        <w:top w:val="none" w:sz="0" w:space="0" w:color="auto"/>
        <w:left w:val="none" w:sz="0" w:space="0" w:color="auto"/>
        <w:bottom w:val="none" w:sz="0" w:space="0" w:color="auto"/>
        <w:right w:val="none" w:sz="0" w:space="0" w:color="auto"/>
      </w:divBdr>
      <w:divsChild>
        <w:div w:id="530268033">
          <w:marLeft w:val="480"/>
          <w:marRight w:val="0"/>
          <w:marTop w:val="0"/>
          <w:marBottom w:val="0"/>
          <w:divBdr>
            <w:top w:val="none" w:sz="0" w:space="0" w:color="auto"/>
            <w:left w:val="none" w:sz="0" w:space="0" w:color="auto"/>
            <w:bottom w:val="none" w:sz="0" w:space="0" w:color="auto"/>
            <w:right w:val="none" w:sz="0" w:space="0" w:color="auto"/>
          </w:divBdr>
          <w:divsChild>
            <w:div w:id="19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9644">
      <w:bodyDiv w:val="1"/>
      <w:marLeft w:val="0"/>
      <w:marRight w:val="0"/>
      <w:marTop w:val="0"/>
      <w:marBottom w:val="0"/>
      <w:divBdr>
        <w:top w:val="none" w:sz="0" w:space="0" w:color="auto"/>
        <w:left w:val="none" w:sz="0" w:space="0" w:color="auto"/>
        <w:bottom w:val="none" w:sz="0" w:space="0" w:color="auto"/>
        <w:right w:val="none" w:sz="0" w:space="0" w:color="auto"/>
      </w:divBdr>
      <w:divsChild>
        <w:div w:id="1284463825">
          <w:marLeft w:val="480"/>
          <w:marRight w:val="0"/>
          <w:marTop w:val="0"/>
          <w:marBottom w:val="0"/>
          <w:divBdr>
            <w:top w:val="none" w:sz="0" w:space="0" w:color="auto"/>
            <w:left w:val="none" w:sz="0" w:space="0" w:color="auto"/>
            <w:bottom w:val="none" w:sz="0" w:space="0" w:color="auto"/>
            <w:right w:val="none" w:sz="0" w:space="0" w:color="auto"/>
          </w:divBdr>
          <w:divsChild>
            <w:div w:id="11504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5019">
      <w:bodyDiv w:val="1"/>
      <w:marLeft w:val="0"/>
      <w:marRight w:val="0"/>
      <w:marTop w:val="0"/>
      <w:marBottom w:val="0"/>
      <w:divBdr>
        <w:top w:val="none" w:sz="0" w:space="0" w:color="auto"/>
        <w:left w:val="none" w:sz="0" w:space="0" w:color="auto"/>
        <w:bottom w:val="none" w:sz="0" w:space="0" w:color="auto"/>
        <w:right w:val="none" w:sz="0" w:space="0" w:color="auto"/>
      </w:divBdr>
      <w:divsChild>
        <w:div w:id="2093507887">
          <w:marLeft w:val="480"/>
          <w:marRight w:val="0"/>
          <w:marTop w:val="0"/>
          <w:marBottom w:val="0"/>
          <w:divBdr>
            <w:top w:val="none" w:sz="0" w:space="0" w:color="auto"/>
            <w:left w:val="none" w:sz="0" w:space="0" w:color="auto"/>
            <w:bottom w:val="none" w:sz="0" w:space="0" w:color="auto"/>
            <w:right w:val="none" w:sz="0" w:space="0" w:color="auto"/>
          </w:divBdr>
          <w:divsChild>
            <w:div w:id="239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9630">
      <w:bodyDiv w:val="1"/>
      <w:marLeft w:val="0"/>
      <w:marRight w:val="0"/>
      <w:marTop w:val="0"/>
      <w:marBottom w:val="0"/>
      <w:divBdr>
        <w:top w:val="none" w:sz="0" w:space="0" w:color="auto"/>
        <w:left w:val="none" w:sz="0" w:space="0" w:color="auto"/>
        <w:bottom w:val="none" w:sz="0" w:space="0" w:color="auto"/>
        <w:right w:val="none" w:sz="0" w:space="0" w:color="auto"/>
      </w:divBdr>
      <w:divsChild>
        <w:div w:id="543441271">
          <w:marLeft w:val="480"/>
          <w:marRight w:val="0"/>
          <w:marTop w:val="0"/>
          <w:marBottom w:val="0"/>
          <w:divBdr>
            <w:top w:val="none" w:sz="0" w:space="0" w:color="auto"/>
            <w:left w:val="none" w:sz="0" w:space="0" w:color="auto"/>
            <w:bottom w:val="none" w:sz="0" w:space="0" w:color="auto"/>
            <w:right w:val="none" w:sz="0" w:space="0" w:color="auto"/>
          </w:divBdr>
          <w:divsChild>
            <w:div w:id="2210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rtmast@hhu.de" TargetMode="External"/><Relationship Id="rId3" Type="http://schemas.openxmlformats.org/officeDocument/2006/relationships/settings" Target="settings.xml"/><Relationship Id="rId7" Type="http://schemas.openxmlformats.org/officeDocument/2006/relationships/hyperlink" Target="mailto:olaf.mikkelsen@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653</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Stefan Hartmann</cp:lastModifiedBy>
  <cp:revision>15</cp:revision>
  <cp:lastPrinted>2023-03-11T11:57:00Z</cp:lastPrinted>
  <dcterms:created xsi:type="dcterms:W3CDTF">2023-03-12T06:57:00Z</dcterms:created>
  <dcterms:modified xsi:type="dcterms:W3CDTF">2023-04-19T15:02:00Z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