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E36D3" w14:textId="7E58D87F" w:rsidR="00AB181E" w:rsidRPr="0091038B" w:rsidRDefault="0091038B">
      <w:pPr>
        <w:pStyle w:val="Author"/>
        <w:rPr>
          <w:sz w:val="25"/>
          <w:szCs w:val="25"/>
        </w:rPr>
      </w:pPr>
      <w:r w:rsidRPr="0091038B">
        <w:rPr>
          <w:sz w:val="25"/>
          <w:szCs w:val="25"/>
        </w:rPr>
        <w:t>Víctor Royo Viñuales</w:t>
      </w:r>
      <w:r w:rsidR="00224AA6" w:rsidRPr="0091038B">
        <w:rPr>
          <w:sz w:val="25"/>
          <w:szCs w:val="25"/>
        </w:rPr>
        <w:t>/</w:t>
      </w:r>
      <w:r w:rsidRPr="0091038B">
        <w:rPr>
          <w:sz w:val="25"/>
          <w:szCs w:val="25"/>
        </w:rPr>
        <w:t>Wout Van Praet</w:t>
      </w:r>
      <w:r w:rsidR="00224AA6" w:rsidRPr="0091038B">
        <w:rPr>
          <w:sz w:val="25"/>
          <w:szCs w:val="25"/>
        </w:rPr>
        <w:t>/</w:t>
      </w:r>
      <w:r w:rsidRPr="0091038B">
        <w:rPr>
          <w:sz w:val="25"/>
          <w:szCs w:val="25"/>
        </w:rPr>
        <w:t>Liesbeth Degand/An Van linden</w:t>
      </w:r>
    </w:p>
    <w:p w14:paraId="0ACA0B55" w14:textId="559E40BB" w:rsidR="00AB181E" w:rsidRDefault="0091038B">
      <w:pPr>
        <w:pStyle w:val="Titre"/>
      </w:pPr>
      <w:r>
        <w:t>A contrastive-constructional approach to (in)subordination</w:t>
      </w:r>
    </w:p>
    <w:p w14:paraId="042164B8" w14:textId="3771B450" w:rsidR="00AB181E" w:rsidRDefault="0091038B">
      <w:pPr>
        <w:pStyle w:val="Sous-titre"/>
      </w:pPr>
      <w:r>
        <w:t>The case of hypothetical manner clause</w:t>
      </w:r>
      <w:r w:rsidR="00607C48">
        <w:t>s</w:t>
      </w:r>
      <w:r>
        <w:t xml:space="preserve"> in French and Spanish</w:t>
      </w:r>
    </w:p>
    <w:p w14:paraId="10219A19" w14:textId="72EC102F" w:rsidR="00AB181E" w:rsidRDefault="00224AA6">
      <w:pPr>
        <w:pStyle w:val="Keywords"/>
        <w:jc w:val="left"/>
      </w:pPr>
      <w:r>
        <w:rPr>
          <w:b/>
          <w:szCs w:val="20"/>
        </w:rPr>
        <w:t>Keywords:</w:t>
      </w:r>
      <w:r>
        <w:rPr>
          <w:szCs w:val="20"/>
        </w:rPr>
        <w:t xml:space="preserve"> </w:t>
      </w:r>
      <w:r w:rsidR="00D66A1C">
        <w:rPr>
          <w:szCs w:val="20"/>
        </w:rPr>
        <w:t>(in)subordination</w:t>
      </w:r>
      <w:r>
        <w:rPr>
          <w:szCs w:val="20"/>
        </w:rPr>
        <w:t>;</w:t>
      </w:r>
      <w:r w:rsidR="00D66A1C">
        <w:rPr>
          <w:szCs w:val="20"/>
        </w:rPr>
        <w:t xml:space="preserve"> hypothetical manner; French; Spanish; prosody</w:t>
      </w:r>
    </w:p>
    <w:p w14:paraId="046CA4B9" w14:textId="665A468C" w:rsidR="00D354D4" w:rsidRDefault="00D354D4">
      <w:r>
        <w:t xml:space="preserve">This study investigates hypothetical manner (HM) clauses, i.e. clauses introduced by the conjunction </w:t>
      </w:r>
      <w:r>
        <w:rPr>
          <w:i/>
          <w:iCs/>
        </w:rPr>
        <w:t>comme si</w:t>
      </w:r>
      <w:r>
        <w:t xml:space="preserve"> in French and </w:t>
      </w:r>
      <w:r>
        <w:rPr>
          <w:i/>
          <w:iCs/>
        </w:rPr>
        <w:t>como si</w:t>
      </w:r>
      <w:r>
        <w:t xml:space="preserve"> in Spanish (both meaning ‘as if’), as illustrated in </w:t>
      </w:r>
      <w:r w:rsidR="007E3876">
        <w:t>(1) to (</w:t>
      </w:r>
      <w:r w:rsidR="005E7400">
        <w:t>4</w:t>
      </w:r>
      <w:r w:rsidR="007E3876">
        <w:t>).</w:t>
      </w:r>
    </w:p>
    <w:p w14:paraId="54E0BCF4" w14:textId="427945A1" w:rsidR="005E7400" w:rsidRPr="008C722A" w:rsidRDefault="008C722A" w:rsidP="008C722A">
      <w:pPr>
        <w:pStyle w:val="Paragraphedeliste"/>
        <w:numPr>
          <w:ilvl w:val="0"/>
          <w:numId w:val="4"/>
        </w:numPr>
        <w:spacing w:before="120" w:line="240" w:lineRule="auto"/>
        <w:ind w:left="426" w:hanging="437"/>
        <w:rPr>
          <w:sz w:val="20"/>
          <w:szCs w:val="20"/>
        </w:rPr>
      </w:pPr>
      <w:r w:rsidRPr="008C722A">
        <w:rPr>
          <w:sz w:val="20"/>
          <w:szCs w:val="20"/>
        </w:rPr>
        <w:t>Spanish</w:t>
      </w:r>
      <w:r w:rsidR="005E7400" w:rsidRPr="008C722A">
        <w:rPr>
          <w:sz w:val="20"/>
          <w:szCs w:val="20"/>
        </w:rPr>
        <w:t xml:space="preserve"> – complement </w:t>
      </w:r>
      <w:r w:rsidR="005E7400" w:rsidRPr="008C722A">
        <w:rPr>
          <w:i/>
          <w:iCs/>
          <w:sz w:val="20"/>
          <w:szCs w:val="20"/>
        </w:rPr>
        <w:t>co</w:t>
      </w:r>
      <w:r>
        <w:rPr>
          <w:i/>
          <w:iCs/>
          <w:sz w:val="20"/>
          <w:szCs w:val="20"/>
        </w:rPr>
        <w:t>mo</w:t>
      </w:r>
      <w:r w:rsidR="005E7400" w:rsidRPr="008C722A">
        <w:rPr>
          <w:i/>
          <w:iCs/>
          <w:sz w:val="20"/>
          <w:szCs w:val="20"/>
        </w:rPr>
        <w:t xml:space="preserve"> si</w:t>
      </w:r>
      <w:r w:rsidR="002143F1">
        <w:rPr>
          <w:i/>
          <w:iCs/>
          <w:sz w:val="20"/>
          <w:szCs w:val="20"/>
        </w:rPr>
        <w:t>-</w:t>
      </w:r>
      <w:r w:rsidR="005E7400" w:rsidRPr="008C722A">
        <w:rPr>
          <w:sz w:val="20"/>
          <w:szCs w:val="20"/>
        </w:rPr>
        <w:t>clause expressing ‘hypothetical qualification’</w:t>
      </w:r>
    </w:p>
    <w:p w14:paraId="3BDCB7A5" w14:textId="15C52F45" w:rsidR="005E7400" w:rsidRPr="008C722A" w:rsidRDefault="008C722A" w:rsidP="008C722A">
      <w:pPr>
        <w:pStyle w:val="Paragraphedeliste"/>
        <w:spacing w:line="240" w:lineRule="auto"/>
        <w:ind w:left="426" w:firstLine="0"/>
        <w:rPr>
          <w:sz w:val="20"/>
          <w:szCs w:val="20"/>
          <w:lang w:val="es-ES"/>
        </w:rPr>
      </w:pPr>
      <w:r w:rsidRPr="008C722A">
        <w:rPr>
          <w:i/>
          <w:iCs/>
          <w:sz w:val="20"/>
          <w:szCs w:val="20"/>
          <w:lang w:val="es-ES"/>
        </w:rPr>
        <w:t>El seguro es de l</w:t>
      </w:r>
      <w:r>
        <w:rPr>
          <w:i/>
          <w:iCs/>
          <w:sz w:val="20"/>
          <w:szCs w:val="20"/>
          <w:lang w:val="es-ES"/>
        </w:rPr>
        <w:t xml:space="preserve">a antigua dueña. Es </w:t>
      </w:r>
      <w:r w:rsidRPr="008C722A">
        <w:rPr>
          <w:b/>
          <w:bCs/>
          <w:i/>
          <w:iCs/>
          <w:sz w:val="20"/>
          <w:szCs w:val="20"/>
          <w:lang w:val="es-ES"/>
        </w:rPr>
        <w:t>como si no estuviera asegurada</w:t>
      </w:r>
      <w:r>
        <w:rPr>
          <w:i/>
          <w:iCs/>
          <w:sz w:val="20"/>
          <w:szCs w:val="20"/>
          <w:lang w:val="es-ES"/>
        </w:rPr>
        <w:t>.</w:t>
      </w:r>
    </w:p>
    <w:p w14:paraId="1976C8DF" w14:textId="7C219E69" w:rsidR="005E7400" w:rsidRPr="008C722A" w:rsidRDefault="005E7400" w:rsidP="008C722A">
      <w:pPr>
        <w:pStyle w:val="Paragraphedeliste"/>
        <w:spacing w:before="0" w:after="120" w:line="240" w:lineRule="auto"/>
        <w:ind w:left="425" w:firstLine="0"/>
        <w:contextualSpacing w:val="0"/>
        <w:rPr>
          <w:sz w:val="20"/>
          <w:szCs w:val="20"/>
        </w:rPr>
      </w:pPr>
      <w:r w:rsidRPr="005E7400">
        <w:rPr>
          <w:sz w:val="20"/>
          <w:szCs w:val="20"/>
        </w:rPr>
        <w:t>‘</w:t>
      </w:r>
      <w:r w:rsidR="008C722A">
        <w:rPr>
          <w:sz w:val="20"/>
          <w:szCs w:val="20"/>
        </w:rPr>
        <w:t>The insurance belong to the former owner. It is as if she didn’t have any</w:t>
      </w:r>
      <w:r w:rsidRPr="005E7400">
        <w:rPr>
          <w:sz w:val="20"/>
          <w:szCs w:val="20"/>
        </w:rPr>
        <w:t>.’</w:t>
      </w:r>
    </w:p>
    <w:p w14:paraId="3AAA01CF" w14:textId="266542DD" w:rsidR="005E7400" w:rsidRDefault="005E7400" w:rsidP="008C722A">
      <w:pPr>
        <w:pStyle w:val="Paragraphedeliste"/>
        <w:numPr>
          <w:ilvl w:val="0"/>
          <w:numId w:val="4"/>
        </w:numPr>
        <w:spacing w:line="240" w:lineRule="auto"/>
        <w:ind w:left="426" w:hanging="426"/>
        <w:rPr>
          <w:sz w:val="20"/>
          <w:szCs w:val="20"/>
        </w:rPr>
      </w:pPr>
      <w:r w:rsidRPr="005E7400">
        <w:rPr>
          <w:sz w:val="20"/>
          <w:szCs w:val="20"/>
        </w:rPr>
        <w:t xml:space="preserve">French – bound subordinate </w:t>
      </w:r>
      <w:r w:rsidRPr="005E7400">
        <w:rPr>
          <w:i/>
          <w:iCs/>
          <w:sz w:val="20"/>
          <w:szCs w:val="20"/>
        </w:rPr>
        <w:t>comme si</w:t>
      </w:r>
      <w:r w:rsidR="002143F1">
        <w:rPr>
          <w:sz w:val="20"/>
          <w:szCs w:val="20"/>
        </w:rPr>
        <w:t>-</w:t>
      </w:r>
      <w:r w:rsidRPr="005E7400">
        <w:rPr>
          <w:sz w:val="20"/>
          <w:szCs w:val="20"/>
        </w:rPr>
        <w:t>clause expressing ‘hypothe</w:t>
      </w:r>
      <w:r>
        <w:rPr>
          <w:sz w:val="20"/>
          <w:szCs w:val="20"/>
        </w:rPr>
        <w:t>tical manner’</w:t>
      </w:r>
    </w:p>
    <w:p w14:paraId="191405DA" w14:textId="082E12CA" w:rsidR="005E7400" w:rsidRDefault="005E7400" w:rsidP="008C722A">
      <w:pPr>
        <w:pStyle w:val="Paragraphedeliste"/>
        <w:spacing w:line="240" w:lineRule="auto"/>
        <w:ind w:left="426" w:firstLine="0"/>
        <w:rPr>
          <w:i/>
          <w:iCs/>
          <w:sz w:val="20"/>
          <w:szCs w:val="20"/>
          <w:lang w:val="fr-FR"/>
        </w:rPr>
      </w:pPr>
      <w:r w:rsidRPr="005E7400">
        <w:rPr>
          <w:i/>
          <w:iCs/>
          <w:sz w:val="20"/>
          <w:szCs w:val="20"/>
          <w:lang w:val="fr-FR"/>
        </w:rPr>
        <w:t xml:space="preserve">Vous me parlez </w:t>
      </w:r>
      <w:r w:rsidRPr="008C722A">
        <w:rPr>
          <w:b/>
          <w:bCs/>
          <w:i/>
          <w:iCs/>
          <w:sz w:val="20"/>
          <w:szCs w:val="20"/>
          <w:lang w:val="fr-FR"/>
        </w:rPr>
        <w:t>comme si je connaissais le Wallon</w:t>
      </w:r>
      <w:r>
        <w:rPr>
          <w:i/>
          <w:iCs/>
          <w:sz w:val="20"/>
          <w:szCs w:val="20"/>
          <w:lang w:val="fr-FR"/>
        </w:rPr>
        <w:t>.</w:t>
      </w:r>
    </w:p>
    <w:p w14:paraId="14FFB011" w14:textId="40542598" w:rsidR="005E7400" w:rsidRPr="008C722A" w:rsidRDefault="005E7400" w:rsidP="008C722A">
      <w:pPr>
        <w:pStyle w:val="Paragraphedeliste"/>
        <w:spacing w:before="0" w:after="120" w:line="240" w:lineRule="auto"/>
        <w:ind w:left="425" w:firstLine="0"/>
        <w:contextualSpacing w:val="0"/>
        <w:rPr>
          <w:sz w:val="20"/>
          <w:szCs w:val="20"/>
        </w:rPr>
      </w:pPr>
      <w:r w:rsidRPr="005E7400">
        <w:rPr>
          <w:sz w:val="20"/>
          <w:szCs w:val="20"/>
        </w:rPr>
        <w:t>‘You talk to me a</w:t>
      </w:r>
      <w:r>
        <w:rPr>
          <w:sz w:val="20"/>
          <w:szCs w:val="20"/>
        </w:rPr>
        <w:t xml:space="preserve">s if I knew [something about] </w:t>
      </w:r>
      <w:r w:rsidR="00C47FC3">
        <w:rPr>
          <w:sz w:val="20"/>
          <w:szCs w:val="20"/>
        </w:rPr>
        <w:t xml:space="preserve">the </w:t>
      </w:r>
      <w:r>
        <w:rPr>
          <w:sz w:val="20"/>
          <w:szCs w:val="20"/>
        </w:rPr>
        <w:t>Wallonian language.’</w:t>
      </w:r>
    </w:p>
    <w:p w14:paraId="6C64AC2D" w14:textId="72AD08D9" w:rsidR="005E7400" w:rsidRDefault="005E7400" w:rsidP="008C722A">
      <w:pPr>
        <w:pStyle w:val="Paragraphedeliste"/>
        <w:numPr>
          <w:ilvl w:val="0"/>
          <w:numId w:val="4"/>
        </w:numPr>
        <w:spacing w:line="240" w:lineRule="auto"/>
        <w:ind w:left="426" w:hanging="426"/>
        <w:rPr>
          <w:sz w:val="20"/>
          <w:szCs w:val="20"/>
        </w:rPr>
      </w:pPr>
      <w:r>
        <w:rPr>
          <w:sz w:val="20"/>
          <w:szCs w:val="20"/>
        </w:rPr>
        <w:t xml:space="preserve">French – free subordinate </w:t>
      </w:r>
      <w:r>
        <w:rPr>
          <w:i/>
          <w:iCs/>
          <w:sz w:val="20"/>
          <w:szCs w:val="20"/>
        </w:rPr>
        <w:t>comme si</w:t>
      </w:r>
      <w:r w:rsidR="002143F1">
        <w:rPr>
          <w:sz w:val="20"/>
          <w:szCs w:val="20"/>
        </w:rPr>
        <w:t>-</w:t>
      </w:r>
      <w:r>
        <w:rPr>
          <w:sz w:val="20"/>
          <w:szCs w:val="20"/>
        </w:rPr>
        <w:t>clause expressing ‘hypothetical cause’</w:t>
      </w:r>
    </w:p>
    <w:p w14:paraId="0725C87D" w14:textId="77777777" w:rsidR="005E7400" w:rsidRDefault="005E7400" w:rsidP="008C722A">
      <w:pPr>
        <w:pStyle w:val="Paragraphedeliste"/>
        <w:spacing w:line="240" w:lineRule="auto"/>
        <w:ind w:left="426" w:firstLine="0"/>
        <w:rPr>
          <w:i/>
          <w:iCs/>
          <w:sz w:val="20"/>
          <w:szCs w:val="20"/>
          <w:lang w:val="fr-FR"/>
        </w:rPr>
      </w:pPr>
      <w:r w:rsidRPr="008C722A">
        <w:rPr>
          <w:b/>
          <w:bCs/>
          <w:i/>
          <w:iCs/>
          <w:sz w:val="20"/>
          <w:szCs w:val="20"/>
          <w:lang w:val="fr-FR"/>
        </w:rPr>
        <w:t>Comme si quelqu’un l’avait tirée de l’intérieur</w:t>
      </w:r>
      <w:r w:rsidRPr="005E7400">
        <w:rPr>
          <w:i/>
          <w:iCs/>
          <w:sz w:val="20"/>
          <w:szCs w:val="20"/>
          <w:lang w:val="fr-FR"/>
        </w:rPr>
        <w:t>, la porte s’o</w:t>
      </w:r>
      <w:r>
        <w:rPr>
          <w:i/>
          <w:iCs/>
          <w:sz w:val="20"/>
          <w:szCs w:val="20"/>
          <w:lang w:val="fr-FR"/>
        </w:rPr>
        <w:t>uvrit avant qu’il ne l’ait touchée.</w:t>
      </w:r>
    </w:p>
    <w:p w14:paraId="6A0B763D" w14:textId="438A1512" w:rsidR="008C722A" w:rsidRPr="008C722A" w:rsidRDefault="005E7400" w:rsidP="008C722A">
      <w:pPr>
        <w:pStyle w:val="Paragraphedeliste"/>
        <w:spacing w:before="0" w:after="120" w:line="240" w:lineRule="auto"/>
        <w:ind w:left="425" w:firstLine="0"/>
        <w:contextualSpacing w:val="0"/>
        <w:rPr>
          <w:sz w:val="20"/>
          <w:szCs w:val="20"/>
        </w:rPr>
      </w:pPr>
      <w:r w:rsidRPr="005E7400">
        <w:rPr>
          <w:sz w:val="20"/>
          <w:szCs w:val="20"/>
        </w:rPr>
        <w:t>‘As if someone had pulled it from the inside, the door open</w:t>
      </w:r>
      <w:r>
        <w:rPr>
          <w:sz w:val="20"/>
          <w:szCs w:val="20"/>
        </w:rPr>
        <w:t xml:space="preserve">ed before he </w:t>
      </w:r>
      <w:r w:rsidR="00C47FC3">
        <w:rPr>
          <w:sz w:val="20"/>
          <w:szCs w:val="20"/>
        </w:rPr>
        <w:t>touched</w:t>
      </w:r>
      <w:r>
        <w:rPr>
          <w:sz w:val="20"/>
          <w:szCs w:val="20"/>
        </w:rPr>
        <w:t xml:space="preserve"> it.’</w:t>
      </w:r>
    </w:p>
    <w:p w14:paraId="7BBB9C90" w14:textId="78F133DD" w:rsidR="008C722A" w:rsidRDefault="008C722A" w:rsidP="008C722A">
      <w:pPr>
        <w:pStyle w:val="Paragraphedeliste"/>
        <w:numPr>
          <w:ilvl w:val="0"/>
          <w:numId w:val="4"/>
        </w:numPr>
        <w:spacing w:line="240" w:lineRule="auto"/>
        <w:ind w:left="426" w:hanging="426"/>
        <w:rPr>
          <w:sz w:val="20"/>
          <w:szCs w:val="20"/>
        </w:rPr>
      </w:pPr>
      <w:r w:rsidRPr="008C722A">
        <w:rPr>
          <w:sz w:val="20"/>
          <w:szCs w:val="20"/>
        </w:rPr>
        <w:t xml:space="preserve">Spanish – insubordinate </w:t>
      </w:r>
      <w:r w:rsidRPr="008C722A">
        <w:rPr>
          <w:i/>
          <w:iCs/>
          <w:sz w:val="20"/>
          <w:szCs w:val="20"/>
        </w:rPr>
        <w:t>como si</w:t>
      </w:r>
      <w:r w:rsidR="002143F1">
        <w:rPr>
          <w:sz w:val="20"/>
          <w:szCs w:val="20"/>
        </w:rPr>
        <w:t>-</w:t>
      </w:r>
      <w:r w:rsidRPr="008C722A">
        <w:rPr>
          <w:sz w:val="20"/>
          <w:szCs w:val="20"/>
        </w:rPr>
        <w:t>clause expressing ‘den</w:t>
      </w:r>
      <w:r>
        <w:rPr>
          <w:sz w:val="20"/>
          <w:szCs w:val="20"/>
        </w:rPr>
        <w:t>ial of an assumption’</w:t>
      </w:r>
    </w:p>
    <w:p w14:paraId="19B6FA58" w14:textId="15ADE375" w:rsidR="008C722A" w:rsidRDefault="008C722A" w:rsidP="008C722A">
      <w:pPr>
        <w:pStyle w:val="Paragraphedeliste"/>
        <w:spacing w:line="240" w:lineRule="auto"/>
        <w:ind w:left="426" w:firstLine="0"/>
        <w:rPr>
          <w:i/>
          <w:iCs/>
          <w:sz w:val="20"/>
          <w:szCs w:val="20"/>
          <w:lang w:val="es-ES"/>
        </w:rPr>
      </w:pPr>
      <w:r w:rsidRPr="008C722A">
        <w:rPr>
          <w:i/>
          <w:iCs/>
          <w:sz w:val="20"/>
          <w:szCs w:val="20"/>
          <w:lang w:val="es-ES"/>
        </w:rPr>
        <w:t>¡</w:t>
      </w:r>
      <w:r w:rsidRPr="008C722A">
        <w:rPr>
          <w:b/>
          <w:bCs/>
          <w:i/>
          <w:iCs/>
          <w:sz w:val="20"/>
          <w:szCs w:val="20"/>
          <w:lang w:val="es-ES"/>
        </w:rPr>
        <w:t>Como si yo tuviese una cámara</w:t>
      </w:r>
      <w:r>
        <w:rPr>
          <w:i/>
          <w:iCs/>
          <w:sz w:val="20"/>
          <w:szCs w:val="20"/>
          <w:lang w:val="es-ES"/>
        </w:rPr>
        <w:t>!</w:t>
      </w:r>
    </w:p>
    <w:p w14:paraId="381ED58D" w14:textId="69BE6B88" w:rsidR="008C722A" w:rsidRPr="008C722A" w:rsidRDefault="008C722A" w:rsidP="008C722A">
      <w:pPr>
        <w:pStyle w:val="Paragraphedeliste"/>
        <w:spacing w:line="240" w:lineRule="auto"/>
        <w:ind w:left="426" w:firstLine="0"/>
        <w:rPr>
          <w:sz w:val="20"/>
          <w:szCs w:val="20"/>
        </w:rPr>
      </w:pPr>
      <w:r w:rsidRPr="008C722A">
        <w:rPr>
          <w:sz w:val="20"/>
          <w:szCs w:val="20"/>
        </w:rPr>
        <w:t>‘As if I had a c</w:t>
      </w:r>
      <w:r>
        <w:rPr>
          <w:sz w:val="20"/>
          <w:szCs w:val="20"/>
        </w:rPr>
        <w:t>amera!’</w:t>
      </w:r>
    </w:p>
    <w:p w14:paraId="59CEBA38" w14:textId="1C9C4992" w:rsidR="007E3876" w:rsidRDefault="00CD3E7A" w:rsidP="00661F50">
      <w:r>
        <w:t>As previous studies have suggested, clauses introduced by conjunctions can display different degrees of syntactic-discursive (in)dependence (D’Hertefelt 2018, Sansiñena 2019), they can express a range of non-prototypical meanings (Lastres-López 2021), and these features may correlate with their prosodic behaviour (Elvira-García</w:t>
      </w:r>
      <w:r w:rsidR="00B858DD">
        <w:t>/Roseano/Fernández-Planas</w:t>
      </w:r>
      <w:r>
        <w:t xml:space="preserve"> 2017). Thus, our study integrates these three dimensions and provides a fine-grained constructional account of</w:t>
      </w:r>
      <w:r w:rsidR="00607C48">
        <w:t xml:space="preserve"> </w:t>
      </w:r>
      <w:r w:rsidR="00607C48">
        <w:rPr>
          <w:i/>
          <w:iCs/>
        </w:rPr>
        <w:t>subordination</w:t>
      </w:r>
      <w:r w:rsidR="00607C48">
        <w:t xml:space="preserve"> and</w:t>
      </w:r>
      <w:r>
        <w:t xml:space="preserve"> </w:t>
      </w:r>
      <w:r>
        <w:rPr>
          <w:i/>
          <w:iCs/>
        </w:rPr>
        <w:t>insubordination</w:t>
      </w:r>
      <w:r>
        <w:t xml:space="preserve"> (i.e. “the conventionalized main clause use of what […] appear to be formally subordinate clauses”</w:t>
      </w:r>
      <w:r w:rsidR="00BF566A">
        <w:t xml:space="preserve"> (Evans 2007:367)</w:t>
      </w:r>
      <w:r>
        <w:t>)</w:t>
      </w:r>
      <w:r w:rsidR="00BF566A">
        <w:t xml:space="preserve">, ultimately aiming to investigate how </w:t>
      </w:r>
      <w:r w:rsidR="00607C48">
        <w:t>the latter</w:t>
      </w:r>
      <w:r w:rsidR="00BF566A">
        <w:t xml:space="preserve"> arises in discourse.</w:t>
      </w:r>
    </w:p>
    <w:p w14:paraId="1DC2D57F" w14:textId="3A9CB909" w:rsidR="00C47FC3" w:rsidRDefault="00A101F7" w:rsidP="00251A0D">
      <w:pPr>
        <w:ind w:firstLine="284"/>
      </w:pPr>
      <w:r>
        <w:t>Our study draws on</w:t>
      </w:r>
      <w:r w:rsidR="009376F5">
        <w:t xml:space="preserve"> </w:t>
      </w:r>
      <w:r w:rsidR="00A15CB7">
        <w:t>corpus</w:t>
      </w:r>
      <w:r w:rsidR="009376F5">
        <w:t xml:space="preserve"> data</w:t>
      </w:r>
      <w:r w:rsidR="00FD555E">
        <w:t xml:space="preserve">, </w:t>
      </w:r>
      <w:r w:rsidR="00A15CB7">
        <w:t>i</w:t>
      </w:r>
      <w:r w:rsidR="00C47FC3">
        <w:t>ncluding</w:t>
      </w:r>
      <w:r w:rsidR="009376F5">
        <w:t xml:space="preserve"> </w:t>
      </w:r>
      <w:r w:rsidR="00FD555E">
        <w:t xml:space="preserve">both </w:t>
      </w:r>
      <w:r w:rsidR="009376F5">
        <w:t>written</w:t>
      </w:r>
      <w:r w:rsidR="00A15CB7">
        <w:t xml:space="preserve"> (n=</w:t>
      </w:r>
      <w:r w:rsidR="00507728">
        <w:t>900</w:t>
      </w:r>
      <w:r w:rsidR="00A15CB7">
        <w:t>)</w:t>
      </w:r>
      <w:r w:rsidR="009376F5">
        <w:t xml:space="preserve"> and spoken</w:t>
      </w:r>
      <w:r w:rsidR="00A15CB7">
        <w:t xml:space="preserve"> (n=</w:t>
      </w:r>
      <w:r w:rsidR="00507728">
        <w:t>319</w:t>
      </w:r>
      <w:r w:rsidR="00A15CB7">
        <w:t>)</w:t>
      </w:r>
      <w:r w:rsidR="009376F5">
        <w:t xml:space="preserve"> </w:t>
      </w:r>
      <w:r w:rsidR="00A15CB7">
        <w:t>discourse</w:t>
      </w:r>
      <w:r w:rsidR="00FD555E">
        <w:t>.</w:t>
      </w:r>
      <w:r w:rsidR="009376F5">
        <w:t xml:space="preserve"> </w:t>
      </w:r>
      <w:r w:rsidR="00CA5F14">
        <w:t>In total,</w:t>
      </w:r>
      <w:r w:rsidR="009376F5">
        <w:t xml:space="preserve"> </w:t>
      </w:r>
      <w:r w:rsidR="00FD555E">
        <w:t>1219</w:t>
      </w:r>
      <w:r w:rsidR="00AF6D3D">
        <w:t xml:space="preserve"> </w:t>
      </w:r>
      <w:r w:rsidR="00806CD0">
        <w:t>instances</w:t>
      </w:r>
      <w:r w:rsidR="00CA5F14">
        <w:t xml:space="preserve"> </w:t>
      </w:r>
      <w:r w:rsidR="00806CD0">
        <w:t>of HM clauses</w:t>
      </w:r>
      <w:r w:rsidR="00AF6D3D">
        <w:t xml:space="preserve"> w</w:t>
      </w:r>
      <w:r w:rsidR="00806CD0">
        <w:t>ere</w:t>
      </w:r>
      <w:r w:rsidR="00AF6D3D">
        <w:t xml:space="preserve"> analysed in a three-fold way</w:t>
      </w:r>
      <w:r w:rsidR="00C1642B">
        <w:t>: i) by assessing the</w:t>
      </w:r>
      <w:r w:rsidR="00F1729F">
        <w:t xml:space="preserve"> degree of </w:t>
      </w:r>
      <w:r w:rsidR="00F1729F">
        <w:rPr>
          <w:b/>
          <w:bCs/>
        </w:rPr>
        <w:t>syntactic (in)dependence</w:t>
      </w:r>
      <w:r w:rsidR="00C1642B">
        <w:rPr>
          <w:b/>
          <w:bCs/>
        </w:rPr>
        <w:t xml:space="preserve"> </w:t>
      </w:r>
      <w:r w:rsidR="00C47FC3">
        <w:rPr>
          <w:i/>
          <w:iCs/>
        </w:rPr>
        <w:t>w.r.t.</w:t>
      </w:r>
      <w:r w:rsidR="00C1642B">
        <w:t xml:space="preserve"> their surrounding discourse</w:t>
      </w:r>
      <w:r w:rsidR="00F1729F">
        <w:t>, based on proportionality (</w:t>
      </w:r>
      <w:r w:rsidR="00F1729F" w:rsidRPr="00F1729F">
        <w:t>Smessaert/Cornillie/Divjak/van den Eyde</w:t>
      </w:r>
      <w:r w:rsidR="00F1729F">
        <w:t xml:space="preserve"> 2005) and preposability (Verstraete 2007)</w:t>
      </w:r>
      <w:r w:rsidR="002A17F6">
        <w:t xml:space="preserve">; ii) </w:t>
      </w:r>
      <w:r w:rsidR="00C1642B">
        <w:t xml:space="preserve">by identifying their </w:t>
      </w:r>
      <w:r w:rsidR="00C1642B">
        <w:rPr>
          <w:b/>
          <w:bCs/>
        </w:rPr>
        <w:t>functional features</w:t>
      </w:r>
      <w:r w:rsidR="00C1642B">
        <w:t>, i.e. the semantic values</w:t>
      </w:r>
      <w:r w:rsidR="002143F1">
        <w:t xml:space="preserve"> they express</w:t>
      </w:r>
      <w:r w:rsidR="00C1642B">
        <w:t xml:space="preserve"> and discourse functions</w:t>
      </w:r>
      <w:r w:rsidR="002143F1">
        <w:t xml:space="preserve"> they can serve</w:t>
      </w:r>
      <w:r w:rsidR="00C1642B">
        <w:t xml:space="preserve">; and iii) </w:t>
      </w:r>
      <w:r w:rsidR="00FD555E">
        <w:t xml:space="preserve">spoken data were also investigated in terms of </w:t>
      </w:r>
      <w:r w:rsidR="00C1642B">
        <w:t xml:space="preserve">their </w:t>
      </w:r>
      <w:r w:rsidR="00C1642B">
        <w:rPr>
          <w:b/>
          <w:bCs/>
        </w:rPr>
        <w:t>prosodic features</w:t>
      </w:r>
      <w:r w:rsidR="00C1642B">
        <w:t>, including pitch accent and intonation boundaries.</w:t>
      </w:r>
      <w:r w:rsidR="00C47FC3">
        <w:t xml:space="preserve"> </w:t>
      </w:r>
    </w:p>
    <w:p w14:paraId="1C768D2D" w14:textId="0082B993" w:rsidR="00B858DD" w:rsidRDefault="00E073C2" w:rsidP="00B858DD">
      <w:pPr>
        <w:ind w:firstLine="284"/>
      </w:pPr>
      <w:r>
        <w:t>In line with earlier pilot studies (Royo-Viñuales/Van linden 2022), the results show that, s</w:t>
      </w:r>
      <w:r w:rsidR="00251A0D">
        <w:t xml:space="preserve">mall language-specific uses aside (i.e. two unique functional types only attested in Spanish), </w:t>
      </w:r>
      <w:r>
        <w:lastRenderedPageBreak/>
        <w:t>the two languages under study share a four-way</w:t>
      </w:r>
      <w:r w:rsidR="00AE4D4B">
        <w:t xml:space="preserve"> </w:t>
      </w:r>
      <w:r w:rsidR="002143F1">
        <w:t>functional</w:t>
      </w:r>
      <w:r>
        <w:t xml:space="preserve"> typology of HM</w:t>
      </w:r>
      <w:r w:rsidR="00772E5F">
        <w:t xml:space="preserve"> clauses</w:t>
      </w:r>
      <w:r w:rsidR="008336D6">
        <w:t>, prototypically illustrated in (1) to (4)</w:t>
      </w:r>
      <w:r>
        <w:t>.</w:t>
      </w:r>
      <w:r w:rsidR="00AE4D4B">
        <w:t xml:space="preserve"> </w:t>
      </w:r>
      <w:r w:rsidR="00CA2FB0">
        <w:t>But, more interestingly, the results shed clear light on how insubordinate constructions arise in discourse</w:t>
      </w:r>
      <w:r w:rsidR="002143F1">
        <w:t xml:space="preserve"> when correlating functional behaviour with prosody</w:t>
      </w:r>
      <w:r w:rsidR="00CA2FB0">
        <w:t>. Crucial in this respect are bridging contexts (Evans/Wilkins 2000, p. 550) which contextually support both a ‘manner’ and a ‘denial</w:t>
      </w:r>
      <w:r w:rsidR="002143F1">
        <w:t>’</w:t>
      </w:r>
      <w:r w:rsidR="00CA2FB0">
        <w:t xml:space="preserve"> reading, illustrated in (2). The analysis shows that</w:t>
      </w:r>
      <w:r w:rsidR="00FD555E">
        <w:t>, in the two languages,</w:t>
      </w:r>
      <w:r w:rsidR="00CA2FB0">
        <w:t xml:space="preserve"> around 30% of subordinate clauses like (2) display a rising-falling prosodic configuration, which is also widely attested in insubordinate clauses conveying ‘denial of an assumption</w:t>
      </w:r>
      <w:r w:rsidR="00FD555E">
        <w:t>’</w:t>
      </w:r>
      <w:r w:rsidR="00CA2FB0">
        <w:t>. This finding supports Van linden &amp; Van de Velde’s (2014) hypothesis of insubordination arising through a process of hypoanalysis (Croft 2000) and shows that speakers do reanalyse this contextual meaning as an inherent functional property of the subordinating conjunction, allowing insubordinate clauses to appear in discourse.</w:t>
      </w:r>
    </w:p>
    <w:p w14:paraId="0B12BAA3" w14:textId="77777777" w:rsidR="00AB181E" w:rsidRDefault="00224AA6">
      <w:pPr>
        <w:pStyle w:val="Tabledesrfrencesjuridiques"/>
      </w:pPr>
      <w:r>
        <w:t>References</w:t>
      </w:r>
    </w:p>
    <w:p w14:paraId="688EB709" w14:textId="7D8D4483" w:rsidR="00AB181E" w:rsidRDefault="00224AA6">
      <w:pPr>
        <w:pStyle w:val="Literaturverzeichnis1"/>
        <w:ind w:left="397" w:hanging="397"/>
      </w:pPr>
      <w:r>
        <w:t>B</w:t>
      </w:r>
      <w:r w:rsidR="00604514">
        <w:t>rinton, Laurel J.</w:t>
      </w:r>
      <w:r>
        <w:t xml:space="preserve"> (2015): </w:t>
      </w:r>
      <w:r w:rsidR="00604514">
        <w:t xml:space="preserve">The Extremes of Insubordination: Exclamatory </w:t>
      </w:r>
      <w:r w:rsidR="00604514">
        <w:rPr>
          <w:i/>
          <w:iCs/>
        </w:rPr>
        <w:t>as if!</w:t>
      </w:r>
      <w:r w:rsidR="00604514">
        <w:t xml:space="preserve"> In: Journal of English Linguistics, 42(2), pp. 93–113. </w:t>
      </w:r>
      <w:hyperlink r:id="rId7" w:history="1">
        <w:r w:rsidR="00604514" w:rsidRPr="00677080">
          <w:rPr>
            <w:rStyle w:val="Lienhypertexte"/>
          </w:rPr>
          <w:t>https://doi.org/10.1177/0075424214521425</w:t>
        </w:r>
      </w:hyperlink>
    </w:p>
    <w:p w14:paraId="779302E4" w14:textId="71658341" w:rsidR="00604514" w:rsidRDefault="00604514">
      <w:pPr>
        <w:pStyle w:val="Literaturverzeichnis1"/>
        <w:ind w:left="397" w:hanging="397"/>
      </w:pPr>
      <w:r>
        <w:t>Croft, William (2000): Explaining Language Change. An Evolutionary Approach. London: Longman.</w:t>
      </w:r>
    </w:p>
    <w:p w14:paraId="06A32D3C" w14:textId="06E47BCD" w:rsidR="00604514" w:rsidRPr="007E6D5F" w:rsidRDefault="00604514">
      <w:pPr>
        <w:pStyle w:val="Literaturverzeichnis1"/>
        <w:ind w:left="397" w:hanging="397"/>
      </w:pPr>
      <w:r w:rsidRPr="009F480C">
        <w:t>D’Hertefelt, Sarah (2018): Insubordination in Germanic.</w:t>
      </w:r>
      <w:r w:rsidR="009F480C" w:rsidRPr="009F480C">
        <w:t xml:space="preserve"> </w:t>
      </w:r>
      <w:r w:rsidR="009F480C" w:rsidRPr="007E6D5F">
        <w:t xml:space="preserve">Berlin/Boston: </w:t>
      </w:r>
      <w:r w:rsidR="009A3B3C" w:rsidRPr="007E6D5F">
        <w:t>De</w:t>
      </w:r>
      <w:r w:rsidR="009F480C" w:rsidRPr="007E6D5F">
        <w:t xml:space="preserve"> Gruyter Mouton.</w:t>
      </w:r>
    </w:p>
    <w:p w14:paraId="6DBCC0D6" w14:textId="6D88DEE4" w:rsidR="009F480C" w:rsidRDefault="009F480C">
      <w:pPr>
        <w:pStyle w:val="Literaturverzeichnis1"/>
        <w:ind w:left="397" w:hanging="397"/>
      </w:pPr>
      <w:r w:rsidRPr="007E6D5F">
        <w:t>Elvira-García, Wendy/Roseano, Paolo/Fernández-Planas, Ana</w:t>
      </w:r>
      <w:r w:rsidR="009A3B3C" w:rsidRPr="007E6D5F">
        <w:t xml:space="preserve"> </w:t>
      </w:r>
      <w:r w:rsidRPr="007E6D5F">
        <w:t xml:space="preserve">María (2017): Prosody as a cue for syntactic dependency. </w:t>
      </w:r>
      <w:r w:rsidRPr="009F480C">
        <w:t>Evidence from dependent and independent clauses with subordination marks i</w:t>
      </w:r>
      <w:r>
        <w:t xml:space="preserve">n Spanish. In: Journal of Pragmatics, 109, pp. 29–46. </w:t>
      </w:r>
      <w:hyperlink r:id="rId8" w:history="1">
        <w:r w:rsidRPr="00677080">
          <w:rPr>
            <w:rStyle w:val="Lienhypertexte"/>
          </w:rPr>
          <w:t>https://doi.org/10.1016/j.pragma.2016.12.002</w:t>
        </w:r>
      </w:hyperlink>
      <w:r>
        <w:t xml:space="preserve"> </w:t>
      </w:r>
    </w:p>
    <w:p w14:paraId="3598376A" w14:textId="7A7B8372" w:rsidR="009F480C" w:rsidRDefault="009F480C">
      <w:pPr>
        <w:pStyle w:val="Literaturverzeichnis1"/>
        <w:ind w:left="397" w:hanging="397"/>
      </w:pPr>
      <w:r>
        <w:t xml:space="preserve">Evans, Nicholas (2007): Insubordination and its uses. </w:t>
      </w:r>
      <w:r w:rsidRPr="009F480C">
        <w:t>In: Nikolaeva, Irina (ed.): Finiteness.</w:t>
      </w:r>
      <w:r>
        <w:t xml:space="preserve"> Theoretical and empirical foundations. Oxford: Oxford University Press, pp. 366-431.</w:t>
      </w:r>
    </w:p>
    <w:p w14:paraId="022C0ECF" w14:textId="6075EDF7" w:rsidR="009F480C" w:rsidRDefault="009F480C">
      <w:pPr>
        <w:pStyle w:val="Literaturverzeichnis1"/>
        <w:ind w:left="397" w:hanging="397"/>
      </w:pPr>
      <w:r>
        <w:t xml:space="preserve">Evans, Nicholas/Wilkins, David (2000): In the mind’s ear: The semantic extensions of perception verbs in Australian languages. In: Language, 76, pp. 546-592. </w:t>
      </w:r>
      <w:hyperlink r:id="rId9" w:history="1">
        <w:r w:rsidRPr="00677080">
          <w:rPr>
            <w:rStyle w:val="Lienhypertexte"/>
          </w:rPr>
          <w:t>https://doi.org/10.2307/417135</w:t>
        </w:r>
      </w:hyperlink>
      <w:r>
        <w:t xml:space="preserve"> </w:t>
      </w:r>
    </w:p>
    <w:p w14:paraId="7E4275F9" w14:textId="1A77C1CF" w:rsidR="009F480C" w:rsidRDefault="009F480C">
      <w:pPr>
        <w:pStyle w:val="Literaturverzeichnis1"/>
        <w:ind w:left="397" w:hanging="397"/>
      </w:pPr>
      <w:r>
        <w:t xml:space="preserve">Lastres-López, Cristina (2021): From subordination to insubordination: A functional pragmatic approach to </w:t>
      </w:r>
      <w:r>
        <w:rPr>
          <w:i/>
          <w:iCs/>
        </w:rPr>
        <w:t>if</w:t>
      </w:r>
      <w:r>
        <w:t>/</w:t>
      </w:r>
      <w:r>
        <w:rPr>
          <w:i/>
          <w:iCs/>
        </w:rPr>
        <w:t>si</w:t>
      </w:r>
      <w:r>
        <w:t xml:space="preserve"> constructions in English, French and Spanish spoken discourse.</w:t>
      </w:r>
      <w:r w:rsidR="00724A0C">
        <w:t xml:space="preserve"> Switzerland: Peter Lang.</w:t>
      </w:r>
    </w:p>
    <w:p w14:paraId="2A828100" w14:textId="090E94C1" w:rsidR="00724A0C" w:rsidRDefault="00724A0C">
      <w:pPr>
        <w:pStyle w:val="Literaturverzeichnis1"/>
        <w:ind w:left="397" w:hanging="397"/>
      </w:pPr>
      <w:r w:rsidRPr="00724A0C">
        <w:t xml:space="preserve">Royo-Viñuales, Víctor/Van linden, An </w:t>
      </w:r>
      <w:r>
        <w:t xml:space="preserve">(2022): </w:t>
      </w:r>
      <w:r w:rsidRPr="00724A0C">
        <w:t>Insubordinate hypothetical manner constructions in French and Spanish: A pilot study</w:t>
      </w:r>
      <w:r>
        <w:t xml:space="preserve">. In: The Papers of the LSB, 16. </w:t>
      </w:r>
      <w:hyperlink r:id="rId10" w:history="1">
        <w:r w:rsidR="004B354B" w:rsidRPr="00677080">
          <w:rPr>
            <w:rStyle w:val="Lienhypertexte"/>
          </w:rPr>
          <w:t>http://doi.org/10.13140/RG.2.2.19836.82568</w:t>
        </w:r>
      </w:hyperlink>
    </w:p>
    <w:p w14:paraId="2334154F" w14:textId="0EB907A1" w:rsidR="00724A0C" w:rsidRDefault="00724A0C">
      <w:pPr>
        <w:pStyle w:val="Literaturverzeichnis1"/>
        <w:ind w:left="397" w:hanging="397"/>
      </w:pPr>
      <w:r>
        <w:t>Sansiñena, María</w:t>
      </w:r>
      <w:r w:rsidR="009A3B3C">
        <w:t xml:space="preserve"> </w:t>
      </w:r>
      <w:r>
        <w:t xml:space="preserve">Sol (2019): Patterns of (in)dependence. </w:t>
      </w:r>
      <w:r w:rsidRPr="00724A0C">
        <w:rPr>
          <w:lang w:val="de-DE"/>
        </w:rPr>
        <w:t>In: Beijering, Karin/Kaltenböck, G</w:t>
      </w:r>
      <w:r>
        <w:rPr>
          <w:lang w:val="de-DE"/>
        </w:rPr>
        <w:t>unter/Sansiñena, María</w:t>
      </w:r>
      <w:r w:rsidR="009A3B3C">
        <w:rPr>
          <w:lang w:val="de-DE"/>
        </w:rPr>
        <w:t xml:space="preserve"> </w:t>
      </w:r>
      <w:r>
        <w:rPr>
          <w:lang w:val="de-DE"/>
        </w:rPr>
        <w:t xml:space="preserve">Sol (eds.): Insubordination. </w:t>
      </w:r>
      <w:r w:rsidRPr="00724A0C">
        <w:t>Theoretical and Empirical issues.</w:t>
      </w:r>
      <w:r>
        <w:t xml:space="preserve"> Berlin:</w:t>
      </w:r>
      <w:r w:rsidR="009A3B3C">
        <w:t xml:space="preserve"> De Gruyter Mouton, pp. 199-239.</w:t>
      </w:r>
    </w:p>
    <w:p w14:paraId="34799738" w14:textId="0511A64C" w:rsidR="009A3B3C" w:rsidRDefault="009A3B3C">
      <w:pPr>
        <w:pStyle w:val="Literaturverzeichnis1"/>
        <w:ind w:left="397" w:hanging="397"/>
      </w:pPr>
      <w:r w:rsidRPr="009A3B3C">
        <w:t>Smessaert, Hans/Cornillie, Bert/Divjak, Dagmar/van den Eyde, Karel (2005): Degrees o</w:t>
      </w:r>
      <w:r>
        <w:t>f Clause Integration</w:t>
      </w:r>
      <w:r w:rsidR="004B354B">
        <w:t>: F</w:t>
      </w:r>
      <w:r w:rsidR="004B354B" w:rsidRPr="004B354B">
        <w:t>rom endotactic to exotactic subordination in Dutch</w:t>
      </w:r>
      <w:r w:rsidR="004B354B">
        <w:t>.</w:t>
      </w:r>
      <w:r>
        <w:t xml:space="preserve"> In: Linguistics, 43, pp. 471-529.</w:t>
      </w:r>
      <w:r w:rsidR="004B354B">
        <w:t xml:space="preserve"> </w:t>
      </w:r>
      <w:hyperlink r:id="rId11" w:history="1">
        <w:r w:rsidR="004B354B" w:rsidRPr="00677080">
          <w:rPr>
            <w:rStyle w:val="Lienhypertexte"/>
          </w:rPr>
          <w:t>https://doi.org/10.1515/ling.2005.43.3.471</w:t>
        </w:r>
      </w:hyperlink>
      <w:r w:rsidR="004B354B">
        <w:t xml:space="preserve"> </w:t>
      </w:r>
    </w:p>
    <w:p w14:paraId="18094F17" w14:textId="77777777" w:rsidR="004B354B" w:rsidRDefault="009A3B3C">
      <w:pPr>
        <w:pStyle w:val="Literaturverzeichnis1"/>
        <w:ind w:left="397" w:hanging="397"/>
      </w:pPr>
      <w:r w:rsidRPr="009A3B3C">
        <w:t>Van linden, An/Van de Velde, Freek (2014): (Semi-)autonomous subordination in Dutch: Structures and semantic-pragmatic value</w:t>
      </w:r>
      <w:r>
        <w:t>s. In: Journal of Pragmatics, 60, pp. 226-250.</w:t>
      </w:r>
    </w:p>
    <w:p w14:paraId="179AD47E" w14:textId="2853D7B1" w:rsidR="00CA5F14" w:rsidRPr="00FD555E" w:rsidRDefault="004B354B" w:rsidP="00FD555E">
      <w:pPr>
        <w:pStyle w:val="Literaturverzeichnis1"/>
        <w:ind w:left="397" w:hanging="397"/>
      </w:pPr>
      <w:r>
        <w:t xml:space="preserve">         </w:t>
      </w:r>
      <w:hyperlink r:id="rId12" w:history="1">
        <w:r w:rsidRPr="00677080">
          <w:rPr>
            <w:rStyle w:val="Lienhypertexte"/>
          </w:rPr>
          <w:t>https://doi.org/10.1016/j.pragma.2013.08.022</w:t>
        </w:r>
      </w:hyperlink>
      <w:r>
        <w:t xml:space="preserve"> </w:t>
      </w:r>
      <w:r w:rsidR="00CA5F14" w:rsidRPr="002143F1">
        <w:br w:type="page"/>
      </w:r>
    </w:p>
    <w:p w14:paraId="7AB372FD" w14:textId="514F5C5B" w:rsidR="00D354D4" w:rsidRPr="007E6D5F" w:rsidRDefault="00224AA6" w:rsidP="00D354D4">
      <w:pPr>
        <w:pStyle w:val="Titre1"/>
        <w:rPr>
          <w:lang w:val="fr-FR"/>
        </w:rPr>
      </w:pPr>
      <w:r w:rsidRPr="007E6D5F">
        <w:rPr>
          <w:lang w:val="fr-FR"/>
        </w:rPr>
        <w:lastRenderedPageBreak/>
        <w:t>Contact information</w:t>
      </w:r>
    </w:p>
    <w:p w14:paraId="61B19EAC" w14:textId="31CF59C4" w:rsidR="00D354D4" w:rsidRPr="007E6D5F" w:rsidRDefault="00D354D4">
      <w:pPr>
        <w:rPr>
          <w:rStyle w:val="lev"/>
          <w:lang w:val="fr-FR"/>
        </w:rPr>
      </w:pPr>
      <w:r w:rsidRPr="007E6D5F">
        <w:rPr>
          <w:rStyle w:val="lev"/>
          <w:lang w:val="fr-FR"/>
        </w:rPr>
        <w:t>Víctor Royo Viñuales</w:t>
      </w:r>
    </w:p>
    <w:p w14:paraId="0A8A1676" w14:textId="26646E58" w:rsidR="00D354D4" w:rsidRDefault="00D354D4">
      <w:pPr>
        <w:rPr>
          <w:rStyle w:val="lev"/>
          <w:b w:val="0"/>
          <w:bCs w:val="0"/>
          <w:lang w:val="fr-FR"/>
        </w:rPr>
      </w:pPr>
      <w:r w:rsidRPr="00D354D4">
        <w:rPr>
          <w:rStyle w:val="lev"/>
          <w:b w:val="0"/>
          <w:bCs w:val="0"/>
          <w:lang w:val="fr-FR"/>
        </w:rPr>
        <w:t>Université de L</w:t>
      </w:r>
      <w:r>
        <w:rPr>
          <w:rStyle w:val="lev"/>
          <w:b w:val="0"/>
          <w:bCs w:val="0"/>
          <w:lang w:val="fr-FR"/>
        </w:rPr>
        <w:t>iège / Université catholique de Louvain</w:t>
      </w:r>
    </w:p>
    <w:p w14:paraId="2B414E4E" w14:textId="2B6C7C90" w:rsidR="00D354D4" w:rsidRPr="007E6D5F" w:rsidRDefault="00000000">
      <w:pPr>
        <w:rPr>
          <w:rStyle w:val="lev"/>
          <w:b w:val="0"/>
          <w:bCs w:val="0"/>
          <w:lang w:val="es-ES"/>
        </w:rPr>
      </w:pPr>
      <w:hyperlink r:id="rId13" w:history="1">
        <w:r w:rsidR="00D354D4" w:rsidRPr="007E6D5F">
          <w:rPr>
            <w:rStyle w:val="Lienhypertexte"/>
            <w:lang w:val="es-ES"/>
          </w:rPr>
          <w:t>vroyo@uliege.be</w:t>
        </w:r>
      </w:hyperlink>
      <w:r w:rsidR="00D354D4" w:rsidRPr="007E6D5F">
        <w:rPr>
          <w:rStyle w:val="lev"/>
          <w:b w:val="0"/>
          <w:bCs w:val="0"/>
          <w:lang w:val="es-ES"/>
        </w:rPr>
        <w:t xml:space="preserve"> </w:t>
      </w:r>
    </w:p>
    <w:p w14:paraId="000EC777" w14:textId="77777777" w:rsidR="00D354D4" w:rsidRPr="007E6D5F" w:rsidRDefault="00D354D4">
      <w:pPr>
        <w:rPr>
          <w:rStyle w:val="lev"/>
          <w:b w:val="0"/>
          <w:bCs w:val="0"/>
          <w:lang w:val="es-ES"/>
        </w:rPr>
      </w:pPr>
    </w:p>
    <w:p w14:paraId="4E713B60" w14:textId="070F276B" w:rsidR="00D354D4" w:rsidRPr="007E6D5F" w:rsidRDefault="00D354D4">
      <w:pPr>
        <w:rPr>
          <w:rStyle w:val="lev"/>
          <w:lang w:val="es-ES"/>
        </w:rPr>
      </w:pPr>
      <w:r w:rsidRPr="007E6D5F">
        <w:rPr>
          <w:rStyle w:val="lev"/>
          <w:lang w:val="es-ES"/>
        </w:rPr>
        <w:t>Wout Van Praet</w:t>
      </w:r>
    </w:p>
    <w:p w14:paraId="0E4DDA0C" w14:textId="743458C7" w:rsidR="00D354D4" w:rsidRDefault="00D354D4">
      <w:pPr>
        <w:rPr>
          <w:rStyle w:val="lev"/>
          <w:b w:val="0"/>
          <w:bCs w:val="0"/>
          <w:lang w:val="fr-FR"/>
        </w:rPr>
      </w:pPr>
      <w:r>
        <w:rPr>
          <w:rStyle w:val="lev"/>
          <w:b w:val="0"/>
          <w:bCs w:val="0"/>
          <w:lang w:val="fr-FR"/>
        </w:rPr>
        <w:t>Université catholique de Louvain</w:t>
      </w:r>
    </w:p>
    <w:p w14:paraId="5EB77E36" w14:textId="63449701" w:rsidR="00D354D4" w:rsidRDefault="00000000">
      <w:pPr>
        <w:rPr>
          <w:rStyle w:val="lev"/>
          <w:b w:val="0"/>
          <w:bCs w:val="0"/>
          <w:lang w:val="fr-FR"/>
        </w:rPr>
      </w:pPr>
      <w:hyperlink r:id="rId14" w:history="1">
        <w:r w:rsidR="00D354D4" w:rsidRPr="00677080">
          <w:rPr>
            <w:rStyle w:val="Lienhypertexte"/>
            <w:lang w:val="fr-FR"/>
          </w:rPr>
          <w:t>wout.vanpraet@uclouvain.be</w:t>
        </w:r>
      </w:hyperlink>
      <w:r w:rsidR="00D354D4">
        <w:rPr>
          <w:rStyle w:val="lev"/>
          <w:b w:val="0"/>
          <w:bCs w:val="0"/>
          <w:lang w:val="fr-FR"/>
        </w:rPr>
        <w:t xml:space="preserve"> </w:t>
      </w:r>
    </w:p>
    <w:p w14:paraId="552E4924" w14:textId="77777777" w:rsidR="00D354D4" w:rsidRDefault="00D354D4">
      <w:pPr>
        <w:rPr>
          <w:rStyle w:val="lev"/>
          <w:b w:val="0"/>
          <w:bCs w:val="0"/>
          <w:lang w:val="fr-FR"/>
        </w:rPr>
      </w:pPr>
    </w:p>
    <w:p w14:paraId="1588816D" w14:textId="5D661C5C" w:rsidR="00D354D4" w:rsidRDefault="00D354D4">
      <w:pPr>
        <w:rPr>
          <w:rStyle w:val="lev"/>
          <w:lang w:val="fr-FR"/>
        </w:rPr>
      </w:pPr>
      <w:r>
        <w:rPr>
          <w:rStyle w:val="lev"/>
          <w:lang w:val="fr-FR"/>
        </w:rPr>
        <w:t>Liesbeth Degand</w:t>
      </w:r>
    </w:p>
    <w:p w14:paraId="041BAB86" w14:textId="5D167815" w:rsidR="00D354D4" w:rsidRDefault="00D354D4">
      <w:pPr>
        <w:rPr>
          <w:rStyle w:val="lev"/>
          <w:b w:val="0"/>
          <w:bCs w:val="0"/>
          <w:lang w:val="fr-FR"/>
        </w:rPr>
      </w:pPr>
      <w:r>
        <w:rPr>
          <w:rStyle w:val="lev"/>
          <w:b w:val="0"/>
          <w:bCs w:val="0"/>
          <w:lang w:val="fr-FR"/>
        </w:rPr>
        <w:t>Université catholique de Louvain</w:t>
      </w:r>
    </w:p>
    <w:p w14:paraId="051027C1" w14:textId="5264075C" w:rsidR="00D354D4" w:rsidRDefault="00000000">
      <w:pPr>
        <w:rPr>
          <w:rStyle w:val="lev"/>
          <w:b w:val="0"/>
          <w:bCs w:val="0"/>
          <w:lang w:val="de-DE"/>
        </w:rPr>
      </w:pPr>
      <w:hyperlink r:id="rId15" w:history="1">
        <w:r w:rsidR="00D354D4" w:rsidRPr="00D354D4">
          <w:rPr>
            <w:rStyle w:val="Lienhypertexte"/>
            <w:lang w:val="de-DE"/>
          </w:rPr>
          <w:t>liesbeth.degand@uclouvain.be</w:t>
        </w:r>
      </w:hyperlink>
      <w:r w:rsidR="00D354D4" w:rsidRPr="00D354D4">
        <w:rPr>
          <w:rStyle w:val="lev"/>
          <w:b w:val="0"/>
          <w:bCs w:val="0"/>
          <w:lang w:val="de-DE"/>
        </w:rPr>
        <w:t xml:space="preserve"> </w:t>
      </w:r>
    </w:p>
    <w:p w14:paraId="2ABF5A5B" w14:textId="77777777" w:rsidR="00D354D4" w:rsidRPr="00D354D4" w:rsidRDefault="00D354D4">
      <w:pPr>
        <w:rPr>
          <w:rStyle w:val="lev"/>
          <w:b w:val="0"/>
          <w:bCs w:val="0"/>
          <w:lang w:val="de-DE"/>
        </w:rPr>
      </w:pPr>
    </w:p>
    <w:p w14:paraId="310C00AD" w14:textId="1009C563" w:rsidR="00AB181E" w:rsidRPr="00D354D4" w:rsidRDefault="00D354D4">
      <w:pPr>
        <w:rPr>
          <w:lang w:val="de-DE"/>
        </w:rPr>
      </w:pPr>
      <w:r w:rsidRPr="00D354D4">
        <w:rPr>
          <w:rStyle w:val="lev"/>
          <w:lang w:val="de-DE"/>
        </w:rPr>
        <w:t>A</w:t>
      </w:r>
      <w:r>
        <w:rPr>
          <w:rStyle w:val="lev"/>
          <w:lang w:val="de-DE"/>
        </w:rPr>
        <w:t>n Van linden</w:t>
      </w:r>
    </w:p>
    <w:p w14:paraId="3482C2CB" w14:textId="40C55D66" w:rsidR="00AB181E" w:rsidRPr="00D354D4" w:rsidRDefault="00D354D4">
      <w:pPr>
        <w:rPr>
          <w:lang w:val="fr-FR"/>
        </w:rPr>
      </w:pPr>
      <w:r w:rsidRPr="00D354D4">
        <w:rPr>
          <w:lang w:val="fr-FR"/>
        </w:rPr>
        <w:t>Université de Liège / KU L</w:t>
      </w:r>
      <w:r>
        <w:rPr>
          <w:lang w:val="fr-FR"/>
        </w:rPr>
        <w:t>euven</w:t>
      </w:r>
    </w:p>
    <w:p w14:paraId="1777A656" w14:textId="3B3F227C" w:rsidR="00AB181E" w:rsidRPr="00D354D4" w:rsidRDefault="00000000">
      <w:pPr>
        <w:rPr>
          <w:lang w:val="fr-FR"/>
        </w:rPr>
      </w:pPr>
      <w:hyperlink r:id="rId16" w:history="1">
        <w:r w:rsidR="00D354D4" w:rsidRPr="00677080">
          <w:rPr>
            <w:rStyle w:val="Lienhypertexte"/>
            <w:lang w:val="fr-FR"/>
          </w:rPr>
          <w:t>an.vanlinden@uliege.be</w:t>
        </w:r>
      </w:hyperlink>
      <w:r w:rsidR="00D354D4">
        <w:rPr>
          <w:lang w:val="fr-FR"/>
        </w:rPr>
        <w:t xml:space="preserve"> </w:t>
      </w:r>
    </w:p>
    <w:p w14:paraId="6434FABF" w14:textId="77777777" w:rsidR="00AB181E" w:rsidRPr="00D354D4" w:rsidRDefault="00AB181E">
      <w:pPr>
        <w:pStyle w:val="Literaturverzeichnis1"/>
        <w:ind w:left="0" w:firstLine="0"/>
        <w:rPr>
          <w:lang w:val="fr-FR"/>
        </w:rPr>
      </w:pPr>
    </w:p>
    <w:p w14:paraId="5F84527E" w14:textId="77777777" w:rsidR="00AB181E" w:rsidRPr="00D354D4" w:rsidRDefault="00AB181E">
      <w:pPr>
        <w:pStyle w:val="Literaturverzeichnis1"/>
        <w:ind w:left="0" w:firstLine="0"/>
        <w:rPr>
          <w:lang w:val="fr-FR"/>
        </w:rPr>
      </w:pPr>
    </w:p>
    <w:sectPr w:rsidR="00AB181E" w:rsidRPr="00D354D4">
      <w:headerReference w:type="default" r:id="rId17"/>
      <w:footerReference w:type="default" r:id="rId1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BFD03" w14:textId="77777777" w:rsidR="00474281" w:rsidRDefault="00474281">
      <w:pPr>
        <w:spacing w:before="0" w:line="240" w:lineRule="auto"/>
      </w:pPr>
      <w:r>
        <w:separator/>
      </w:r>
    </w:p>
  </w:endnote>
  <w:endnote w:type="continuationSeparator" w:id="0">
    <w:p w14:paraId="6A648E84" w14:textId="77777777" w:rsidR="00474281" w:rsidRDefault="0047428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7AB36C-B269-40FA-9D13-A8C47237B1C9}"/>
    <w:embedBold r:id="rId2" w:fontKey="{117D395E-31A1-411B-9BF3-1E05961DF2F6}"/>
    <w:embedItalic r:id="rId3" w:fontKey="{833CF7D2-99D3-457F-B3F6-686871190000}"/>
    <w:embedBoldItalic r:id="rId4" w:fontKey="{764F0129-E7DE-4D1F-A411-F8BDF7234415}"/>
  </w:font>
  <w:font w:name="Tahoma">
    <w:panose1 w:val="020B0604030504040204"/>
    <w:charset w:val="00"/>
    <w:family w:val="swiss"/>
    <w:pitch w:val="variable"/>
    <w:sig w:usb0="E1002EFF" w:usb1="C000605B" w:usb2="00000029" w:usb3="00000000" w:csb0="000101FF" w:csb1="00000000"/>
    <w:embedRegular r:id="rId5" w:fontKey="{98E3E751-C521-45F5-9F56-86520AB12CD4}"/>
    <w:embedBold r:id="rId6" w:fontKey="{AA12EE26-75E9-4401-BBE2-3CCDC2A7909D}"/>
    <w:embedItalic r:id="rId7" w:fontKey="{3E5E4181-B79D-4FF2-8F73-24C8AEF35CC5}"/>
    <w:embedBoldItalic r:id="rId8" w:fontKey="{BF1538D0-656C-48F3-8BEE-704309E595F5}"/>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embedRegular r:id="rId9" w:fontKey="{D7075FB6-93F2-4109-A995-AD6423215713}"/>
    <w:embedBold r:id="rId10" w:fontKey="{5E852C1D-891F-4933-8A62-C06F7AB520A8}"/>
  </w:font>
  <w:font w:name="OpenSymbol">
    <w:altName w:val="Arial Unicode MS"/>
    <w:charset w:val="00"/>
    <w:family w:val="auto"/>
    <w:pitch w:val="variable"/>
    <w:sig w:usb0="800000AF" w:usb1="1001ECEA" w:usb2="00000000" w:usb3="00000000" w:csb0="80000001" w:csb1="00000000"/>
    <w:embedRegular r:id="rId11" w:fontKey="{E77691C5-1A38-4C73-8F24-63F128D3BCD4}"/>
  </w:font>
  <w:font w:name="Liberation Sans">
    <w:altName w:val="Arial"/>
    <w:charset w:val="00"/>
    <w:family w:val="swiss"/>
    <w:pitch w:val="variable"/>
    <w:sig w:usb0="E0000AFF" w:usb1="500078FF" w:usb2="00000021" w:usb3="00000000" w:csb0="000001BF" w:csb1="00000000"/>
    <w:embedBold r:id="rId12" w:fontKey="{98DBB8AC-32BD-42DB-B6B2-CAFC9B734685}"/>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3" w:fontKey="{B545CC8B-0884-44C4-B29F-D9283B1B7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BF0B" w14:textId="77777777" w:rsidR="00AB181E" w:rsidRDefault="00224AA6" w:rsidP="00694682">
    <w:pPr>
      <w:pStyle w:val="Pieddepage"/>
      <w:jc w:val="right"/>
    </w:pPr>
    <w:r>
      <w:rPr>
        <w:rStyle w:val="Numrodepage"/>
        <w:rFonts w:cs="Libertinus Serif"/>
      </w:rPr>
      <w:fldChar w:fldCharType="begin"/>
    </w:r>
    <w:r>
      <w:rPr>
        <w:rStyle w:val="Numrodepage"/>
        <w:rFonts w:cs="Libertinus Serif"/>
      </w:rPr>
      <w:instrText xml:space="preserve"> PAGE </w:instrText>
    </w:r>
    <w:r>
      <w:rPr>
        <w:rStyle w:val="Numrodepage"/>
        <w:rFonts w:cs="Libertinus Serif"/>
      </w:rPr>
      <w:fldChar w:fldCharType="separate"/>
    </w:r>
    <w:r w:rsidR="004C5262">
      <w:rPr>
        <w:rStyle w:val="Numrodepage"/>
        <w:rFonts w:cs="Libertinus Serif"/>
        <w:noProof/>
      </w:rPr>
      <w:t>3</w:t>
    </w:r>
    <w:r>
      <w:rPr>
        <w:rStyle w:val="Numrodepage"/>
        <w:rFonts w:cs="Libertinus Serif"/>
      </w:rPr>
      <w:fldChar w:fldCharType="end"/>
    </w:r>
  </w:p>
  <w:p w14:paraId="436EF5DE" w14:textId="77777777" w:rsidR="00AB181E" w:rsidRDefault="00AB181E">
    <w:pPr>
      <w:pStyle w:val="Pieddepage"/>
    </w:pPr>
  </w:p>
  <w:p w14:paraId="12DB1C91"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69B92" w14:textId="77777777" w:rsidR="00474281" w:rsidRDefault="00474281">
      <w:pPr>
        <w:rPr>
          <w:sz w:val="12"/>
        </w:rPr>
      </w:pPr>
      <w:r>
        <w:separator/>
      </w:r>
    </w:p>
  </w:footnote>
  <w:footnote w:type="continuationSeparator" w:id="0">
    <w:p w14:paraId="28FA5C53" w14:textId="77777777" w:rsidR="00474281" w:rsidRDefault="00474281">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98C62" w14:textId="772BA076" w:rsidR="00AB181E" w:rsidRPr="0091038B" w:rsidRDefault="00224AA6">
    <w:pPr>
      <w:pStyle w:val="En-tte"/>
      <w:rPr>
        <w:sz w:val="20"/>
        <w:szCs w:val="20"/>
      </w:rPr>
    </w:pPr>
    <w:r w:rsidRPr="0091038B">
      <w:rPr>
        <w:sz w:val="20"/>
        <w:szCs w:val="20"/>
      </w:rPr>
      <w:t xml:space="preserve">ICLC-10 2023 </w:t>
    </w:r>
    <w:r w:rsidR="0091038B" w:rsidRPr="0091038B">
      <w:rPr>
        <w:sz w:val="20"/>
        <w:szCs w:val="20"/>
      </w:rPr>
      <w:t>–</w:t>
    </w:r>
    <w:r w:rsidRPr="0091038B">
      <w:rPr>
        <w:sz w:val="20"/>
        <w:szCs w:val="20"/>
      </w:rPr>
      <w:t xml:space="preserve"> </w:t>
    </w:r>
    <w:r w:rsidR="0091038B" w:rsidRPr="0091038B">
      <w:rPr>
        <w:sz w:val="20"/>
        <w:szCs w:val="20"/>
      </w:rPr>
      <w:t>A contrastive-constructional approach to (in)subordination</w:t>
    </w:r>
  </w:p>
  <w:p w14:paraId="571B5C39"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78D723A1"/>
    <w:multiLevelType w:val="hybridMultilevel"/>
    <w:tmpl w:val="E81644BC"/>
    <w:lvl w:ilvl="0" w:tplc="BED20AC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67663426">
    <w:abstractNumId w:val="0"/>
  </w:num>
  <w:num w:numId="2" w16cid:durableId="1052193721">
    <w:abstractNumId w:val="1"/>
  </w:num>
  <w:num w:numId="3" w16cid:durableId="243298488">
    <w:abstractNumId w:val="2"/>
  </w:num>
  <w:num w:numId="4" w16cid:durableId="1889875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A4C52"/>
    <w:rsid w:val="000B31E4"/>
    <w:rsid w:val="000F11EC"/>
    <w:rsid w:val="00110417"/>
    <w:rsid w:val="00125DCE"/>
    <w:rsid w:val="00130053"/>
    <w:rsid w:val="002143F1"/>
    <w:rsid w:val="00224AA6"/>
    <w:rsid w:val="00227F60"/>
    <w:rsid w:val="00251A0D"/>
    <w:rsid w:val="002A17F6"/>
    <w:rsid w:val="002B5285"/>
    <w:rsid w:val="00474281"/>
    <w:rsid w:val="004B354B"/>
    <w:rsid w:val="004C5262"/>
    <w:rsid w:val="00507728"/>
    <w:rsid w:val="005B07EF"/>
    <w:rsid w:val="005E57BC"/>
    <w:rsid w:val="005E7400"/>
    <w:rsid w:val="00604514"/>
    <w:rsid w:val="00607C48"/>
    <w:rsid w:val="00661F50"/>
    <w:rsid w:val="00694682"/>
    <w:rsid w:val="00717483"/>
    <w:rsid w:val="00724A0C"/>
    <w:rsid w:val="00772E5F"/>
    <w:rsid w:val="007E3876"/>
    <w:rsid w:val="007E6D5F"/>
    <w:rsid w:val="00806CD0"/>
    <w:rsid w:val="008336D6"/>
    <w:rsid w:val="008C722A"/>
    <w:rsid w:val="008F6088"/>
    <w:rsid w:val="0091038B"/>
    <w:rsid w:val="009376F5"/>
    <w:rsid w:val="009A3B3C"/>
    <w:rsid w:val="009A679F"/>
    <w:rsid w:val="009D4AD9"/>
    <w:rsid w:val="009F480C"/>
    <w:rsid w:val="00A101F7"/>
    <w:rsid w:val="00A15CB7"/>
    <w:rsid w:val="00A54BA3"/>
    <w:rsid w:val="00AB181E"/>
    <w:rsid w:val="00AC487F"/>
    <w:rsid w:val="00AC697F"/>
    <w:rsid w:val="00AE4D4B"/>
    <w:rsid w:val="00AF6D3D"/>
    <w:rsid w:val="00B06C72"/>
    <w:rsid w:val="00B2052C"/>
    <w:rsid w:val="00B22F8E"/>
    <w:rsid w:val="00B7601D"/>
    <w:rsid w:val="00B858DD"/>
    <w:rsid w:val="00BD63D1"/>
    <w:rsid w:val="00BF566A"/>
    <w:rsid w:val="00C1642B"/>
    <w:rsid w:val="00C35C8C"/>
    <w:rsid w:val="00C425D1"/>
    <w:rsid w:val="00C47FC3"/>
    <w:rsid w:val="00C97EDA"/>
    <w:rsid w:val="00CA2FB0"/>
    <w:rsid w:val="00CA5F14"/>
    <w:rsid w:val="00CD3E7A"/>
    <w:rsid w:val="00D354D4"/>
    <w:rsid w:val="00D66A1C"/>
    <w:rsid w:val="00DB1137"/>
    <w:rsid w:val="00DC55FB"/>
    <w:rsid w:val="00E073C2"/>
    <w:rsid w:val="00E4189F"/>
    <w:rsid w:val="00F1729F"/>
    <w:rsid w:val="00F254B6"/>
    <w:rsid w:val="00F47A0D"/>
    <w:rsid w:val="00FD555E"/>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05D5"/>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itre1">
    <w:name w:val="heading 1"/>
    <w:basedOn w:val="Normal"/>
    <w:next w:val="Normal"/>
    <w:link w:val="Titre1Car"/>
    <w:qFormat/>
    <w:pPr>
      <w:keepNext/>
      <w:keepLines/>
      <w:spacing w:before="340" w:after="113" w:line="360" w:lineRule="exact"/>
      <w:outlineLvl w:val="0"/>
    </w:pPr>
    <w:rPr>
      <w:rFonts w:ascii="Fira Sans" w:hAnsi="Fira Sans"/>
      <w:b/>
      <w:color w:val="4FAF4A"/>
      <w:sz w:val="28"/>
      <w:szCs w:val="32"/>
    </w:rPr>
  </w:style>
  <w:style w:type="paragraph" w:styleId="Titre2">
    <w:name w:val="heading 2"/>
    <w:basedOn w:val="Normal"/>
    <w:next w:val="Normal"/>
    <w:link w:val="Titre2Car"/>
    <w:qFormat/>
    <w:pPr>
      <w:keepNext/>
      <w:keepLines/>
      <w:spacing w:before="340" w:after="113" w:line="340" w:lineRule="exact"/>
      <w:outlineLvl w:val="1"/>
    </w:pPr>
    <w:rPr>
      <w:rFonts w:ascii="Fira Sans" w:hAnsi="Fira Sans"/>
      <w:b/>
      <w:color w:val="4FAF4A"/>
      <w:sz w:val="26"/>
      <w:szCs w:val="26"/>
    </w:rPr>
  </w:style>
  <w:style w:type="paragraph" w:styleId="Titre3">
    <w:name w:val="heading 3"/>
    <w:basedOn w:val="Normal"/>
    <w:next w:val="Normal"/>
    <w:link w:val="Titre3Car"/>
    <w:qFormat/>
    <w:pPr>
      <w:keepNext/>
      <w:keepLines/>
      <w:spacing w:before="227" w:after="113" w:line="320" w:lineRule="exact"/>
      <w:outlineLvl w:val="2"/>
    </w:pPr>
    <w:rPr>
      <w:rFonts w:ascii="Fira Sans" w:hAnsi="Fira Sans"/>
      <w:color w:val="4FAF4A"/>
      <w:sz w:val="24"/>
      <w:szCs w:val="24"/>
    </w:rPr>
  </w:style>
  <w:style w:type="paragraph" w:styleId="Titre4">
    <w:name w:val="heading 4"/>
    <w:basedOn w:val="Normal"/>
    <w:next w:val="Normal"/>
    <w:link w:val="Titre4Car"/>
    <w:qFormat/>
    <w:pPr>
      <w:keepNext/>
      <w:keepLines/>
      <w:spacing w:before="227"/>
      <w:outlineLvl w:val="3"/>
    </w:pPr>
    <w:rPr>
      <w:rFonts w:ascii="Fira Sans" w:hAnsi="Fira Sans"/>
      <w:iCs/>
      <w:color w:val="4FAF4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Pr>
      <w:rFonts w:ascii="Fira Sans" w:eastAsia="Calibri" w:hAnsi="Fira Sans" w:cs="Tahoma"/>
      <w:b/>
      <w:color w:val="F79646"/>
      <w:sz w:val="28"/>
      <w:szCs w:val="32"/>
    </w:rPr>
  </w:style>
  <w:style w:type="character" w:customStyle="1" w:styleId="Titre2Car">
    <w:name w:val="Titre 2 Car"/>
    <w:basedOn w:val="Policepardfaut"/>
    <w:link w:val="Titre2"/>
    <w:qFormat/>
    <w:rPr>
      <w:rFonts w:ascii="Fira Sans" w:eastAsia="Calibri" w:hAnsi="Fira Sans" w:cs="Tahoma"/>
      <w:b/>
      <w:color w:val="F79646"/>
      <w:sz w:val="26"/>
      <w:szCs w:val="26"/>
    </w:rPr>
  </w:style>
  <w:style w:type="character" w:customStyle="1" w:styleId="Titre3Car">
    <w:name w:val="Titre 3 Car"/>
    <w:basedOn w:val="Policepardfaut"/>
    <w:link w:val="Titre3"/>
    <w:qFormat/>
    <w:rPr>
      <w:rFonts w:ascii="Fira Sans" w:eastAsia="Calibri" w:hAnsi="Fira Sans" w:cs="Tahoma"/>
      <w:color w:val="F79646"/>
      <w:sz w:val="24"/>
      <w:szCs w:val="24"/>
    </w:rPr>
  </w:style>
  <w:style w:type="character" w:customStyle="1" w:styleId="Titre4Car">
    <w:name w:val="Titre 4 Car"/>
    <w:basedOn w:val="Policepardfaut"/>
    <w:link w:val="Titre4"/>
    <w:qFormat/>
    <w:rPr>
      <w:rFonts w:ascii="Fira Sans" w:eastAsia="Calibri" w:hAnsi="Fira Sans" w:cs="Tahoma"/>
      <w:iCs/>
      <w:color w:val="F79646"/>
    </w:rPr>
  </w:style>
  <w:style w:type="character" w:customStyle="1" w:styleId="TitreCar">
    <w:name w:val="Titre Car"/>
    <w:basedOn w:val="Policepardfaut"/>
    <w:link w:val="Titre"/>
    <w:qFormat/>
    <w:rsid w:val="00227F60"/>
    <w:rPr>
      <w:rFonts w:ascii="Fira Sans" w:hAnsi="Fira Sans"/>
      <w:b/>
      <w:color w:val="4FAF4A"/>
      <w:sz w:val="38"/>
      <w:szCs w:val="56"/>
    </w:rPr>
  </w:style>
  <w:style w:type="character" w:styleId="lev">
    <w:name w:val="Strong"/>
    <w:basedOn w:val="Policepardfaut"/>
    <w:qFormat/>
    <w:rPr>
      <w:b/>
      <w:bCs/>
    </w:rPr>
  </w:style>
  <w:style w:type="character" w:styleId="Accentuation">
    <w:name w:val="Emphasis"/>
    <w:basedOn w:val="Policepardfaut"/>
    <w:qFormat/>
    <w:rPr>
      <w:i/>
      <w:iCs/>
    </w:rPr>
  </w:style>
  <w:style w:type="character" w:styleId="Accentuationintense">
    <w:name w:val="Intense Emphasis"/>
    <w:basedOn w:val="Policepardfaut"/>
    <w:qFormat/>
    <w:rPr>
      <w:rFonts w:ascii="Libertinus Serif" w:hAnsi="Libertinus Serif"/>
      <w:b/>
      <w:bCs/>
      <w:i/>
      <w:iCs/>
      <w:color w:val="auto"/>
    </w:rPr>
  </w:style>
  <w:style w:type="character" w:customStyle="1" w:styleId="CitationCar">
    <w:name w:val="Citation Car"/>
    <w:basedOn w:val="Policepardfaut"/>
    <w:link w:val="Citation"/>
    <w:qFormat/>
    <w:rPr>
      <w:rFonts w:ascii="Libertinus Serif" w:hAnsi="Libertinus Serif"/>
      <w:iCs/>
      <w:sz w:val="20"/>
    </w:rPr>
  </w:style>
  <w:style w:type="character" w:customStyle="1" w:styleId="Sous-titreCar">
    <w:name w:val="Sous-titre Car"/>
    <w:basedOn w:val="Policepardfaut"/>
    <w:link w:val="Sous-titre"/>
    <w:qFormat/>
    <w:rsid w:val="004C5262"/>
    <w:rPr>
      <w:rFonts w:ascii="Fira Sans" w:hAnsi="Fira Sans"/>
      <w:b/>
      <w:color w:val="5A5A5A"/>
      <w:spacing w:val="16"/>
      <w:sz w:val="28"/>
    </w:rPr>
  </w:style>
  <w:style w:type="character" w:customStyle="1" w:styleId="En-tteCar">
    <w:name w:val="En-tête Car"/>
    <w:basedOn w:val="Policepardfaut"/>
    <w:link w:val="En-tte"/>
    <w:qFormat/>
    <w:rPr>
      <w:rFonts w:ascii="Times New Roman" w:hAnsi="Times New Roman"/>
      <w:sz w:val="24"/>
    </w:rPr>
  </w:style>
  <w:style w:type="character" w:customStyle="1" w:styleId="PieddepageCar">
    <w:name w:val="Pied de page Car"/>
    <w:basedOn w:val="Policepardfaut"/>
    <w:link w:val="Pieddepage"/>
    <w:qFormat/>
    <w:rPr>
      <w:rFonts w:ascii="Times New Roman" w:hAnsi="Times New Roman"/>
      <w:sz w:val="24"/>
    </w:rPr>
  </w:style>
  <w:style w:type="character" w:customStyle="1" w:styleId="Funotenzeichen-Text">
    <w:name w:val="Fußnotenzeichen-Text"/>
    <w:qFormat/>
    <w:rPr>
      <w:vertAlign w:val="superscript"/>
    </w:rPr>
  </w:style>
  <w:style w:type="character" w:styleId="Lienhypertexte">
    <w:name w:val="Hyperlink"/>
    <w:basedOn w:val="Policepardfaut"/>
    <w:rPr>
      <w:color w:val="000080"/>
      <w:w w:val="100"/>
      <w:u w:val="thick" w:color="000080"/>
    </w:rPr>
  </w:style>
  <w:style w:type="character" w:styleId="Numrodepage">
    <w:name w:val="page number"/>
    <w:basedOn w:val="Policepardfaut"/>
    <w:qFormat/>
  </w:style>
  <w:style w:type="character" w:customStyle="1" w:styleId="NotedebasdepageCar">
    <w:name w:val="Note de bas de page Car"/>
    <w:basedOn w:val="Policepardfaut"/>
    <w:link w:val="Notedebasdepage"/>
    <w:qFormat/>
    <w:rPr>
      <w:rFonts w:ascii="Times New Roman" w:hAnsi="Times New Roman"/>
      <w:sz w:val="20"/>
      <w:szCs w:val="20"/>
    </w:rPr>
  </w:style>
  <w:style w:type="character" w:customStyle="1" w:styleId="CitationintenseCar">
    <w:name w:val="Citation intense Car"/>
    <w:basedOn w:val="Policepardfaut"/>
    <w:link w:val="Citationintense"/>
    <w:qFormat/>
    <w:rPr>
      <w:rFonts w:ascii="Libertinus Serif" w:hAnsi="Libertinus Serif"/>
      <w:bCs/>
      <w:sz w:val="20"/>
    </w:rPr>
  </w:style>
  <w:style w:type="character" w:customStyle="1" w:styleId="KapitlchenSmallCapital">
    <w:name w:val="Kapitälchen/Small Capital"/>
    <w:basedOn w:val="Policepardfaut"/>
    <w:qFormat/>
    <w:rPr>
      <w:smallCaps/>
    </w:rPr>
  </w:style>
  <w:style w:type="character" w:customStyle="1" w:styleId="Aufzhlungszeichen1">
    <w:name w:val="Aufzählungszeichen1"/>
    <w:qFormat/>
    <w:rPr>
      <w:rFonts w:ascii="OpenSymbol" w:eastAsia="OpenSymbol" w:hAnsi="OpenSymbol" w:cs="OpenSymbol"/>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TextedebullesCar">
    <w:name w:val="Texte de bulles Car"/>
    <w:basedOn w:val="Policepardfaut"/>
    <w:link w:val="Textedebulles"/>
    <w:qFormat/>
    <w:rPr>
      <w:rFonts w:ascii="Tahoma" w:hAnsi="Tahoma" w:cs="Tahoma"/>
      <w:sz w:val="16"/>
      <w:szCs w:val="16"/>
    </w:rPr>
  </w:style>
  <w:style w:type="paragraph" w:customStyle="1" w:styleId="berschrift">
    <w:name w:val="Überschrift"/>
    <w:basedOn w:val="Titre1"/>
    <w:next w:val="Corpsdetexte"/>
    <w:qFormat/>
    <w:pPr>
      <w:spacing w:before="240" w:after="120"/>
    </w:pPr>
    <w:rPr>
      <w:rFonts w:ascii="Liberation Sans" w:eastAsia="Noto Sans CJK SC" w:hAnsi="Liberation Sans" w:cs="Droid Sans Devanagari"/>
      <w:szCs w:val="28"/>
    </w:rPr>
  </w:style>
  <w:style w:type="paragraph" w:styleId="Corpsdetexte">
    <w:name w:val="Body Text"/>
    <w:basedOn w:val="Normal"/>
    <w:pPr>
      <w:spacing w:before="0" w:after="140" w:line="276" w:lineRule="auto"/>
    </w:pPr>
  </w:style>
  <w:style w:type="paragraph" w:styleId="Liste">
    <w:name w:val="List"/>
    <w:basedOn w:val="Corpsdetexte"/>
    <w:rPr>
      <w:rFonts w:cs="Droid Sans Devanagari"/>
    </w:rPr>
  </w:style>
  <w:style w:type="paragraph" w:styleId="Lgende">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re">
    <w:name w:val="Title"/>
    <w:basedOn w:val="Normal"/>
    <w:next w:val="Normal"/>
    <w:link w:val="Titre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ion">
    <w:name w:val="Quote"/>
    <w:basedOn w:val="Normal"/>
    <w:next w:val="Normal"/>
    <w:link w:val="CitationCar"/>
    <w:qFormat/>
    <w:pPr>
      <w:spacing w:line="250" w:lineRule="exact"/>
      <w:ind w:left="794" w:right="794"/>
    </w:pPr>
    <w:rPr>
      <w:iCs/>
      <w:sz w:val="20"/>
    </w:rPr>
  </w:style>
  <w:style w:type="paragraph" w:styleId="Sous-titre">
    <w:name w:val="Subtitle"/>
    <w:basedOn w:val="Normal"/>
    <w:next w:val="Normal"/>
    <w:link w:val="Sous-titre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re"/>
    <w:qFormat/>
    <w:pPr>
      <w:spacing w:before="0" w:line="340" w:lineRule="exact"/>
    </w:pPr>
    <w:rPr>
      <w:b w:val="0"/>
      <w:color w:val="auto"/>
      <w:sz w:val="26"/>
    </w:rPr>
  </w:style>
  <w:style w:type="paragraph" w:styleId="Paragraphedeliste">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En-tte">
    <w:name w:val="header"/>
    <w:basedOn w:val="Normal"/>
    <w:link w:val="En-tteCar"/>
    <w:pPr>
      <w:tabs>
        <w:tab w:val="center" w:pos="4536"/>
        <w:tab w:val="right" w:pos="9072"/>
      </w:tabs>
      <w:spacing w:before="0" w:line="240" w:lineRule="auto"/>
    </w:pPr>
  </w:style>
  <w:style w:type="paragraph" w:styleId="Pieddepage">
    <w:name w:val="footer"/>
    <w:basedOn w:val="Normal"/>
    <w:link w:val="PieddepageCar"/>
    <w:pPr>
      <w:tabs>
        <w:tab w:val="center" w:pos="4536"/>
        <w:tab w:val="right" w:pos="9072"/>
      </w:tabs>
      <w:spacing w:before="0" w:line="240" w:lineRule="auto"/>
    </w:pPr>
  </w:style>
  <w:style w:type="paragraph" w:customStyle="1" w:styleId="FunoteFootnote">
    <w:name w:val="Fußnote/Footnote"/>
    <w:basedOn w:val="Notedebasdepage"/>
    <w:qFormat/>
    <w:pPr>
      <w:tabs>
        <w:tab w:val="left" w:pos="283"/>
      </w:tabs>
      <w:spacing w:line="230" w:lineRule="atLeast"/>
      <w:ind w:left="284" w:hanging="284"/>
      <w:textAlignment w:val="center"/>
    </w:pPr>
    <w:rPr>
      <w:rFonts w:cs="Times New Roman"/>
    </w:rPr>
  </w:style>
  <w:style w:type="paragraph" w:styleId="Notedebasdepage">
    <w:name w:val="footnote text"/>
    <w:basedOn w:val="Normal"/>
    <w:link w:val="Notedebasdepag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tionintense">
    <w:name w:val="Intense Quote"/>
    <w:basedOn w:val="Citation"/>
    <w:next w:val="Normal"/>
    <w:link w:val="Citationintense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sdetex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reindex">
    <w:name w:val="index heading"/>
    <w:basedOn w:val="Titre1"/>
    <w:autoRedefine/>
  </w:style>
  <w:style w:type="paragraph" w:styleId="Tabledesrfrencesjuridiques">
    <w:name w:val="table of authorities"/>
    <w:basedOn w:val="Titre1"/>
    <w:autoRedefine/>
    <w:pPr>
      <w:suppressLineNumbers/>
    </w:pPr>
  </w:style>
  <w:style w:type="paragraph" w:styleId="Formuledepolitesse">
    <w:name w:val="Closing"/>
    <w:basedOn w:val="berschrift"/>
    <w:next w:val="Corpsdetexte"/>
    <w:qFormat/>
    <w:pPr>
      <w:jc w:val="center"/>
    </w:pPr>
    <w:rPr>
      <w:bCs/>
      <w:szCs w:val="32"/>
    </w:rPr>
  </w:style>
  <w:style w:type="paragraph" w:styleId="En-ttedetabledesmatires">
    <w:name w:val="TOC Heading"/>
    <w:basedOn w:val="Titreindex"/>
  </w:style>
  <w:style w:type="paragraph" w:customStyle="1" w:styleId="Abbildungsindexberschriften">
    <w:name w:val="Abbildungsindex Überschriften"/>
    <w:basedOn w:val="Titreindex"/>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edebulles">
    <w:name w:val="Balloon Text"/>
    <w:basedOn w:val="Normal"/>
    <w:link w:val="TextedebullesCar"/>
    <w:qFormat/>
    <w:pPr>
      <w:spacing w:before="0" w:line="240" w:lineRule="auto"/>
    </w:pPr>
    <w:rPr>
      <w:rFonts w:ascii="Tahoma" w:hAnsi="Tahoma"/>
      <w:sz w:val="16"/>
      <w:szCs w:val="16"/>
    </w:rPr>
  </w:style>
  <w:style w:type="character" w:styleId="Mentionnonrsolue">
    <w:name w:val="Unresolved Mention"/>
    <w:basedOn w:val="Policepardfaut"/>
    <w:uiPriority w:val="99"/>
    <w:semiHidden/>
    <w:unhideWhenUsed/>
    <w:rsid w:val="00D354D4"/>
    <w:rPr>
      <w:color w:val="605E5C"/>
      <w:shd w:val="clear" w:color="auto" w:fill="E1DFDD"/>
    </w:rPr>
  </w:style>
  <w:style w:type="character" w:styleId="Lienhypertextesuivivisit">
    <w:name w:val="FollowedHyperlink"/>
    <w:basedOn w:val="Policepardfaut"/>
    <w:uiPriority w:val="99"/>
    <w:semiHidden/>
    <w:unhideWhenUsed/>
    <w:rsid w:val="00724A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016/j.pragma.2016.12.002" TargetMode="External"/><Relationship Id="rId13" Type="http://schemas.openxmlformats.org/officeDocument/2006/relationships/hyperlink" Target="mailto:vroyo@uliege.b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i.org/10.1177/0075424214521425" TargetMode="External"/><Relationship Id="rId12" Type="http://schemas.openxmlformats.org/officeDocument/2006/relationships/hyperlink" Target="https://doi.org/10.1016/j.pragma.2013.08.022"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n.vanlinden@uliege.b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515/ling.2005.43.3.471" TargetMode="External"/><Relationship Id="rId5" Type="http://schemas.openxmlformats.org/officeDocument/2006/relationships/footnotes" Target="footnotes.xml"/><Relationship Id="rId15" Type="http://schemas.openxmlformats.org/officeDocument/2006/relationships/hyperlink" Target="mailto:liesbeth.degand@uclouvain.be" TargetMode="External"/><Relationship Id="rId10" Type="http://schemas.openxmlformats.org/officeDocument/2006/relationships/hyperlink" Target="http://doi.org/10.13140/RG.2.2.19836.8256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2307/417135" TargetMode="External"/><Relationship Id="rId14" Type="http://schemas.openxmlformats.org/officeDocument/2006/relationships/hyperlink" Target="mailto:wout.vanpraet@uclouvain.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742</TotalTime>
  <Pages>3</Pages>
  <Words>1037</Words>
  <Characters>5709</Characters>
  <Application>Microsoft Office Word</Application>
  <DocSecurity>0</DocSecurity>
  <Lines>47</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Victor Royo Viñuales</cp:lastModifiedBy>
  <cp:revision>18</cp:revision>
  <cp:lastPrinted>2023-03-11T11:57:00Z</cp:lastPrinted>
  <dcterms:created xsi:type="dcterms:W3CDTF">2023-05-03T08:09:00Z</dcterms:created>
  <dcterms:modified xsi:type="dcterms:W3CDTF">2023-05-14T16:16:00Z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