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82F6C" w14:textId="62DB92C0" w:rsidR="00AB181E" w:rsidRPr="00993025" w:rsidRDefault="00CA1405" w:rsidP="00CA1405">
      <w:pPr>
        <w:pStyle w:val="Author"/>
        <w:rPr>
          <w:lang w:val="en-US" w:eastAsia="ja-JP"/>
        </w:rPr>
      </w:pPr>
      <w:r>
        <w:t>Shigeki Yoshida/Mai Hayashi/Sakura Ishikawa/</w:t>
      </w:r>
      <w:r w:rsidR="004C5376">
        <w:t xml:space="preserve">Yuko </w:t>
      </w:r>
      <w:proofErr w:type="spellStart"/>
      <w:r w:rsidR="004C5376">
        <w:t>Morokuma</w:t>
      </w:r>
      <w:proofErr w:type="spellEnd"/>
      <w:r w:rsidR="004C5376">
        <w:t>/</w:t>
      </w:r>
      <w:r>
        <w:t xml:space="preserve">Yuta </w:t>
      </w:r>
      <w:proofErr w:type="spellStart"/>
      <w:r>
        <w:t>Sakon</w:t>
      </w:r>
      <w:proofErr w:type="spellEnd"/>
      <w:r>
        <w:t>/</w:t>
      </w:r>
      <w:proofErr w:type="spellStart"/>
      <w:r>
        <w:t>Yui</w:t>
      </w:r>
      <w:proofErr w:type="spellEnd"/>
      <w:r>
        <w:t xml:space="preserve"> Suzuki/</w:t>
      </w:r>
      <w:proofErr w:type="spellStart"/>
      <w:r>
        <w:t>Mizuki</w:t>
      </w:r>
      <w:proofErr w:type="spellEnd"/>
      <w:r>
        <w:t xml:space="preserve"> </w:t>
      </w:r>
      <w:proofErr w:type="spellStart"/>
      <w:r>
        <w:t>Tanigawa</w:t>
      </w:r>
      <w:proofErr w:type="spellEnd"/>
      <w:r>
        <w:t>/Naonori Nagaya</w:t>
      </w:r>
    </w:p>
    <w:p w14:paraId="32B7F7BD" w14:textId="17F03820" w:rsidR="00AB181E" w:rsidRDefault="0024169C" w:rsidP="0024169C">
      <w:pPr>
        <w:pStyle w:val="Title"/>
      </w:pPr>
      <w:r w:rsidRPr="0024169C">
        <w:t>Uniplex/multiplex pairs and frequency asymmetries in general number languages</w:t>
      </w:r>
    </w:p>
    <w:p w14:paraId="56A7E5C6" w14:textId="7D1DFBA2" w:rsidR="00AB181E" w:rsidRDefault="00224AA6">
      <w:pPr>
        <w:pStyle w:val="Keywords"/>
        <w:jc w:val="left"/>
      </w:pPr>
      <w:r>
        <w:rPr>
          <w:b/>
          <w:szCs w:val="20"/>
        </w:rPr>
        <w:t>Keywords:</w:t>
      </w:r>
      <w:r>
        <w:rPr>
          <w:szCs w:val="20"/>
        </w:rPr>
        <w:t xml:space="preserve"> </w:t>
      </w:r>
      <w:r w:rsidR="0024169C">
        <w:rPr>
          <w:szCs w:val="20"/>
        </w:rPr>
        <w:t xml:space="preserve">number; </w:t>
      </w:r>
      <w:r w:rsidR="0043432C">
        <w:rPr>
          <w:szCs w:val="20"/>
        </w:rPr>
        <w:t xml:space="preserve">frequency; </w:t>
      </w:r>
      <w:r w:rsidR="006551D6">
        <w:rPr>
          <w:szCs w:val="20"/>
        </w:rPr>
        <w:t xml:space="preserve">plurative; singulative; </w:t>
      </w:r>
      <w:r w:rsidR="0024169C">
        <w:rPr>
          <w:szCs w:val="20"/>
        </w:rPr>
        <w:t>general number language</w:t>
      </w:r>
    </w:p>
    <w:p w14:paraId="27A32D61" w14:textId="2A99D027" w:rsidR="009B4502" w:rsidRDefault="0024169C" w:rsidP="009B4502">
      <w:pPr>
        <w:pStyle w:val="Heading1"/>
      </w:pPr>
      <w:r w:rsidRPr="003E0BC1">
        <w:t>Background</w:t>
      </w:r>
    </w:p>
    <w:p w14:paraId="4AD02081" w14:textId="68F9C2FA" w:rsidR="00913F62" w:rsidRDefault="0024169C" w:rsidP="0024169C">
      <w:r>
        <w:t xml:space="preserve">This paper examines uniplex/multiplex pairs of nouns across languages. The terms </w:t>
      </w:r>
      <w:r w:rsidRPr="00EC032D">
        <w:rPr>
          <w:i/>
          <w:iCs/>
        </w:rPr>
        <w:t>uniplex</w:t>
      </w:r>
      <w:r>
        <w:t xml:space="preserve"> and </w:t>
      </w:r>
      <w:r w:rsidRPr="00EC032D">
        <w:rPr>
          <w:i/>
          <w:iCs/>
        </w:rPr>
        <w:t>multiplex</w:t>
      </w:r>
      <w:r>
        <w:t xml:space="preserve"> are used here as notional concepts </w:t>
      </w:r>
      <w:r w:rsidR="0060529D">
        <w:fldChar w:fldCharType="begin"/>
      </w:r>
      <w:r w:rsidR="0060529D">
        <w:instrText xml:space="preserve"> ADDIN ZOTERO_ITEM CSL_CITATION {"citationID":"GzLNMLNo","properties":{"formattedCitation":"(Talmy 1988)","plainCitation":"(Talmy 1988)","noteIndex":0},"citationItems":[{"id":6753,"uris":["http://zotero.org/users/3655733/items/I2NLALT7"],"itemData":{"id":6753,"type":"chapter","container-title":"Topics in cognitive linguistics","event-place":"Amsterdam","ISBN":"978-90-272-3544-2","language":"en","note":"DOI: 10.1075/cilt.50.08tal","page":"166–205","publisher":"John Benjamins","publisher-place":"Amsterdam","source":"DOI.org (Crossref)","title":"The relation of grammar to cognition: A synopsis","URL":"https://benjamins.com/catalog/cilt.50.08tal","editor":[{"family":"Rudzka-Ostyn","given":"Brygida"}],"author":[{"family":"Talmy","given":"Leonard"}],"accessed":{"date-parts":[["2021",1,2]]},"issued":{"date-parts":[["1988"]]}}}],"schema":"https://github.com/citation-style-language/schema/raw/master/csl-citation.json"} </w:instrText>
      </w:r>
      <w:r w:rsidR="0060529D">
        <w:fldChar w:fldCharType="separate"/>
      </w:r>
      <w:r w:rsidR="00173CA8">
        <w:rPr>
          <w:noProof/>
        </w:rPr>
        <w:t>(Talmy 1988)</w:t>
      </w:r>
      <w:r w:rsidR="0060529D">
        <w:fldChar w:fldCharType="end"/>
      </w:r>
      <w:r>
        <w:t>. Uniplex nominals denote a single entity, while multiplex nominals denote a set of multiple entities. In number-marking languages, uniplex and multiplex nominals receive different marking. In English, for example, multiplex nominals are expressed by overt plura</w:t>
      </w:r>
      <w:r w:rsidR="00711F5A">
        <w:t>tive</w:t>
      </w:r>
      <w:r>
        <w:t xml:space="preserve"> forms</w:t>
      </w:r>
      <w:r w:rsidR="009E1CB9">
        <w:t xml:space="preserve">, as in </w:t>
      </w:r>
      <w:r w:rsidR="00FB7F99">
        <w:fldChar w:fldCharType="begin"/>
      </w:r>
      <w:r w:rsidR="00FB7F99">
        <w:instrText xml:space="preserve"> REF _Ref135511128 \r \h </w:instrText>
      </w:r>
      <w:r w:rsidR="00FB7F99">
        <w:fldChar w:fldCharType="separate"/>
      </w:r>
      <w:r w:rsidR="00073968">
        <w:t>(1)</w:t>
      </w:r>
      <w:r w:rsidR="00FB7F99">
        <w:fldChar w:fldCharType="end"/>
      </w:r>
      <w:r>
        <w:t xml:space="preserve">. In Welsh, by contrast, uniplex nominals are overtly marked </w:t>
      </w:r>
      <w:r w:rsidR="00993025">
        <w:rPr>
          <w:rFonts w:hint="eastAsia"/>
          <w:lang w:eastAsia="ja-JP"/>
        </w:rPr>
        <w:t>by</w:t>
      </w:r>
      <w:r w:rsidR="00993025">
        <w:rPr>
          <w:lang w:val="en-US" w:eastAsia="ja-JP"/>
        </w:rPr>
        <w:t xml:space="preserve"> </w:t>
      </w:r>
      <w:r>
        <w:t>singulative forms</w:t>
      </w:r>
      <w:r w:rsidR="009E1CB9">
        <w:t xml:space="preserve">, as in </w:t>
      </w:r>
      <w:r w:rsidR="00FB7F99">
        <w:fldChar w:fldCharType="begin"/>
      </w:r>
      <w:r w:rsidR="00FB7F99">
        <w:instrText xml:space="preserve"> REF _Ref135511131 \r \h </w:instrText>
      </w:r>
      <w:r w:rsidR="00FB7F99">
        <w:fldChar w:fldCharType="separate"/>
      </w:r>
      <w:r w:rsidR="00073968">
        <w:t>(2)</w:t>
      </w:r>
      <w:r w:rsidR="00FB7F99">
        <w:fldChar w:fldCharType="end"/>
      </w:r>
      <w:r w:rsidR="009B21D4">
        <w:t>.</w:t>
      </w:r>
    </w:p>
    <w:tbl>
      <w:tblPr>
        <w:tblpPr w:rightFromText="6804" w:vertAnchor="text" w:tblpY="58"/>
        <w:tblOverlap w:val="never"/>
        <w:tblW w:w="7088" w:type="dxa"/>
        <w:tblLayout w:type="fixed"/>
        <w:tblCellMar>
          <w:left w:w="0" w:type="dxa"/>
          <w:right w:w="0" w:type="dxa"/>
        </w:tblCellMar>
        <w:tblLook w:val="0000" w:firstRow="0" w:lastRow="0" w:firstColumn="0" w:lastColumn="0" w:noHBand="0" w:noVBand="0"/>
      </w:tblPr>
      <w:tblGrid>
        <w:gridCol w:w="450"/>
        <w:gridCol w:w="651"/>
        <w:gridCol w:w="1417"/>
        <w:gridCol w:w="4536"/>
        <w:gridCol w:w="34"/>
      </w:tblGrid>
      <w:tr w:rsidR="00913F62" w14:paraId="4834BE42" w14:textId="77777777" w:rsidTr="009E1CB9">
        <w:trPr>
          <w:gridAfter w:val="1"/>
          <w:wAfter w:w="34" w:type="dxa"/>
          <w:trHeight w:val="276"/>
        </w:trPr>
        <w:tc>
          <w:tcPr>
            <w:tcW w:w="7054" w:type="dxa"/>
            <w:gridSpan w:val="4"/>
          </w:tcPr>
          <w:p w14:paraId="7B215131" w14:textId="68386229" w:rsidR="00913F62" w:rsidRDefault="00913F62" w:rsidP="00806FB7">
            <w:pPr>
              <w:pStyle w:val="Example"/>
            </w:pPr>
            <w:bookmarkStart w:id="0" w:name="_Ref135511128"/>
            <w:r>
              <w:rPr>
                <w:rFonts w:cs="Libertinus Serif"/>
              </w:rPr>
              <w:t>English</w:t>
            </w:r>
            <w:bookmarkEnd w:id="0"/>
          </w:p>
        </w:tc>
      </w:tr>
      <w:tr w:rsidR="009E1CB9" w14:paraId="41AACA59" w14:textId="77777777" w:rsidTr="009E1CB9">
        <w:tc>
          <w:tcPr>
            <w:tcW w:w="450" w:type="dxa"/>
          </w:tcPr>
          <w:p w14:paraId="2A73D4C0" w14:textId="77777777" w:rsidR="009E1CB9" w:rsidRDefault="009E1CB9" w:rsidP="00806FB7">
            <w:pPr>
              <w:keepNext/>
              <w:widowControl w:val="0"/>
              <w:spacing w:before="0"/>
              <w:contextualSpacing/>
              <w:jc w:val="left"/>
              <w:rPr>
                <w:rFonts w:cs="Libertinus Serif"/>
                <w:sz w:val="20"/>
                <w:szCs w:val="20"/>
                <w:lang w:val="en-US"/>
              </w:rPr>
            </w:pPr>
          </w:p>
        </w:tc>
        <w:tc>
          <w:tcPr>
            <w:tcW w:w="651" w:type="dxa"/>
          </w:tcPr>
          <w:p w14:paraId="38B59D5F" w14:textId="37F8FBB8" w:rsidR="009E1CB9" w:rsidRPr="00913F62" w:rsidRDefault="009E1CB9" w:rsidP="00806FB7">
            <w:pPr>
              <w:widowControl w:val="0"/>
              <w:spacing w:before="0"/>
              <w:contextualSpacing/>
              <w:jc w:val="left"/>
              <w:rPr>
                <w:rFonts w:cs="Libertinus Serif"/>
                <w:iCs/>
                <w:sz w:val="20"/>
                <w:szCs w:val="20"/>
                <w:lang w:val="en-US"/>
              </w:rPr>
            </w:pPr>
            <w:r>
              <w:rPr>
                <w:rFonts w:cs="Libertinus Serif"/>
                <w:iCs/>
                <w:sz w:val="20"/>
                <w:szCs w:val="20"/>
                <w:lang w:val="en-US"/>
              </w:rPr>
              <w:t xml:space="preserve">a. </w:t>
            </w:r>
          </w:p>
        </w:tc>
        <w:tc>
          <w:tcPr>
            <w:tcW w:w="1417" w:type="dxa"/>
          </w:tcPr>
          <w:p w14:paraId="2A631443" w14:textId="4794242B" w:rsidR="009E1CB9" w:rsidRPr="00913F62" w:rsidRDefault="009E1CB9" w:rsidP="00806FB7">
            <w:pPr>
              <w:widowControl w:val="0"/>
              <w:spacing w:before="0"/>
              <w:contextualSpacing/>
              <w:jc w:val="left"/>
              <w:rPr>
                <w:rFonts w:cs="Libertinus Serif"/>
                <w:i/>
                <w:sz w:val="20"/>
                <w:szCs w:val="20"/>
                <w:lang w:val="en-US"/>
              </w:rPr>
            </w:pPr>
            <w:r>
              <w:rPr>
                <w:rFonts w:cs="Libertinus Serif"/>
                <w:i/>
                <w:sz w:val="20"/>
                <w:szCs w:val="20"/>
                <w:lang w:val="en-US"/>
              </w:rPr>
              <w:t>d</w:t>
            </w:r>
            <w:r w:rsidRPr="00913F62">
              <w:rPr>
                <w:rFonts w:cs="Libertinus Serif"/>
                <w:i/>
                <w:sz w:val="20"/>
                <w:szCs w:val="20"/>
                <w:lang w:val="en-US"/>
              </w:rPr>
              <w:t>og</w:t>
            </w:r>
            <w:r>
              <w:rPr>
                <w:rFonts w:cs="Libertinus Serif"/>
                <w:i/>
                <w:sz w:val="20"/>
                <w:szCs w:val="20"/>
                <w:lang w:val="en-US"/>
              </w:rPr>
              <w:t>-ø</w:t>
            </w:r>
          </w:p>
        </w:tc>
        <w:tc>
          <w:tcPr>
            <w:tcW w:w="4570" w:type="dxa"/>
            <w:gridSpan w:val="2"/>
          </w:tcPr>
          <w:p w14:paraId="313E64B9" w14:textId="1A40733D" w:rsidR="009E1CB9" w:rsidRPr="00913F62" w:rsidRDefault="009E1CB9" w:rsidP="00806FB7">
            <w:pPr>
              <w:widowControl w:val="0"/>
              <w:spacing w:before="0"/>
              <w:contextualSpacing/>
              <w:jc w:val="left"/>
              <w:rPr>
                <w:rFonts w:cs="Libertinus Serif"/>
                <w:iCs/>
                <w:sz w:val="20"/>
                <w:szCs w:val="20"/>
                <w:lang w:val="vi-VN"/>
              </w:rPr>
            </w:pPr>
            <w:r>
              <w:rPr>
                <w:rFonts w:cs="Libertinus Serif"/>
                <w:iCs/>
                <w:sz w:val="20"/>
                <w:szCs w:val="20"/>
                <w:lang w:val="en-US"/>
              </w:rPr>
              <w:t>(</w:t>
            </w:r>
            <w:proofErr w:type="gramStart"/>
            <w:r>
              <w:rPr>
                <w:rFonts w:cs="Libertinus Serif"/>
                <w:iCs/>
                <w:sz w:val="20"/>
                <w:szCs w:val="20"/>
                <w:lang w:val="en-US"/>
              </w:rPr>
              <w:t>uniplex</w:t>
            </w:r>
            <w:proofErr w:type="gramEnd"/>
            <w:r>
              <w:rPr>
                <w:rFonts w:cs="Libertinus Serif"/>
                <w:iCs/>
                <w:sz w:val="20"/>
                <w:szCs w:val="20"/>
                <w:lang w:val="en-US"/>
              </w:rPr>
              <w:t xml:space="preserve"> meaning, </w:t>
            </w:r>
            <w:r w:rsidR="008517E1">
              <w:rPr>
                <w:rFonts w:cs="Libertinus Serif"/>
                <w:iCs/>
                <w:sz w:val="20"/>
                <w:szCs w:val="20"/>
                <w:lang w:val="en-US"/>
              </w:rPr>
              <w:t>basic</w:t>
            </w:r>
            <w:r>
              <w:rPr>
                <w:rFonts w:cs="Libertinus Serif"/>
                <w:iCs/>
                <w:sz w:val="20"/>
                <w:szCs w:val="20"/>
                <w:lang w:val="en-US"/>
              </w:rPr>
              <w:t xml:space="preserve"> </w:t>
            </w:r>
            <w:r w:rsidR="008517E1">
              <w:rPr>
                <w:rFonts w:cs="Libertinus Serif"/>
                <w:iCs/>
                <w:sz w:val="20"/>
                <w:szCs w:val="20"/>
                <w:lang w:val="en-US"/>
              </w:rPr>
              <w:t>form</w:t>
            </w:r>
            <w:r>
              <w:rPr>
                <w:rFonts w:cs="Libertinus Serif"/>
                <w:iCs/>
                <w:sz w:val="20"/>
                <w:szCs w:val="20"/>
                <w:lang w:val="en-US"/>
              </w:rPr>
              <w:t>)</w:t>
            </w:r>
          </w:p>
        </w:tc>
      </w:tr>
      <w:tr w:rsidR="009E1CB9" w14:paraId="666DDD42" w14:textId="77777777" w:rsidTr="009E1CB9">
        <w:trPr>
          <w:trHeight w:val="328"/>
        </w:trPr>
        <w:tc>
          <w:tcPr>
            <w:tcW w:w="450" w:type="dxa"/>
          </w:tcPr>
          <w:p w14:paraId="50219A90" w14:textId="77777777" w:rsidR="009E1CB9" w:rsidRDefault="009E1CB9" w:rsidP="00806FB7">
            <w:pPr>
              <w:keepNext/>
              <w:widowControl w:val="0"/>
              <w:spacing w:before="0"/>
              <w:contextualSpacing/>
              <w:jc w:val="left"/>
              <w:rPr>
                <w:rFonts w:cs="Libertinus Serif"/>
                <w:sz w:val="20"/>
                <w:szCs w:val="20"/>
                <w:lang w:val="en-US"/>
              </w:rPr>
            </w:pPr>
          </w:p>
        </w:tc>
        <w:tc>
          <w:tcPr>
            <w:tcW w:w="651" w:type="dxa"/>
          </w:tcPr>
          <w:p w14:paraId="3433652C" w14:textId="0576FEE9" w:rsidR="009E1CB9" w:rsidRDefault="009E1CB9" w:rsidP="00806FB7">
            <w:pPr>
              <w:widowControl w:val="0"/>
              <w:spacing w:before="0"/>
              <w:contextualSpacing/>
              <w:jc w:val="left"/>
              <w:rPr>
                <w:rFonts w:cs="Libertinus Serif"/>
                <w:sz w:val="20"/>
                <w:szCs w:val="20"/>
              </w:rPr>
            </w:pPr>
            <w:r>
              <w:rPr>
                <w:rFonts w:cs="Libertinus Serif"/>
                <w:sz w:val="20"/>
                <w:szCs w:val="20"/>
              </w:rPr>
              <w:t>b.</w:t>
            </w:r>
          </w:p>
        </w:tc>
        <w:tc>
          <w:tcPr>
            <w:tcW w:w="1417" w:type="dxa"/>
          </w:tcPr>
          <w:p w14:paraId="32BD212D" w14:textId="2BBE9416" w:rsidR="009E1CB9" w:rsidRPr="009E1CB9" w:rsidRDefault="009E1CB9" w:rsidP="00806FB7">
            <w:pPr>
              <w:widowControl w:val="0"/>
              <w:spacing w:before="0"/>
              <w:contextualSpacing/>
              <w:jc w:val="left"/>
              <w:rPr>
                <w:i/>
                <w:iCs/>
              </w:rPr>
            </w:pPr>
            <w:r w:rsidRPr="009E1CB9">
              <w:rPr>
                <w:rFonts w:cs="Libertinus Serif"/>
                <w:i/>
                <w:iCs/>
                <w:sz w:val="20"/>
                <w:szCs w:val="20"/>
              </w:rPr>
              <w:t xml:space="preserve">dog-s </w:t>
            </w:r>
          </w:p>
        </w:tc>
        <w:tc>
          <w:tcPr>
            <w:tcW w:w="4570" w:type="dxa"/>
            <w:gridSpan w:val="2"/>
          </w:tcPr>
          <w:p w14:paraId="6F6A91F2" w14:textId="58CEFEFC" w:rsidR="009E1CB9" w:rsidRDefault="009E1CB9" w:rsidP="00806FB7">
            <w:pPr>
              <w:widowControl w:val="0"/>
              <w:spacing w:before="0"/>
              <w:contextualSpacing/>
              <w:jc w:val="left"/>
              <w:rPr>
                <w:rFonts w:cs="Libertinus Serif"/>
                <w:sz w:val="20"/>
                <w:szCs w:val="20"/>
              </w:rPr>
            </w:pPr>
            <w:r>
              <w:rPr>
                <w:rFonts w:cs="Libertinus Serif"/>
                <w:sz w:val="20"/>
                <w:szCs w:val="20"/>
              </w:rPr>
              <w:t>(</w:t>
            </w:r>
            <w:proofErr w:type="gramStart"/>
            <w:r>
              <w:rPr>
                <w:rFonts w:cs="Libertinus Serif"/>
                <w:sz w:val="20"/>
                <w:szCs w:val="20"/>
              </w:rPr>
              <w:t>multiplex</w:t>
            </w:r>
            <w:proofErr w:type="gramEnd"/>
            <w:r>
              <w:rPr>
                <w:rFonts w:cs="Libertinus Serif"/>
                <w:sz w:val="20"/>
                <w:szCs w:val="20"/>
              </w:rPr>
              <w:t xml:space="preserve"> meaning, plura</w:t>
            </w:r>
            <w:r w:rsidR="008517E1">
              <w:rPr>
                <w:rFonts w:cs="Libertinus Serif"/>
                <w:sz w:val="20"/>
                <w:szCs w:val="20"/>
              </w:rPr>
              <w:t>tive</w:t>
            </w:r>
            <w:r>
              <w:rPr>
                <w:rFonts w:cs="Libertinus Serif"/>
                <w:sz w:val="20"/>
                <w:szCs w:val="20"/>
              </w:rPr>
              <w:t xml:space="preserve"> </w:t>
            </w:r>
            <w:r w:rsidR="008517E1">
              <w:rPr>
                <w:rFonts w:cs="Libertinus Serif"/>
                <w:sz w:val="20"/>
                <w:szCs w:val="20"/>
              </w:rPr>
              <w:t>form</w:t>
            </w:r>
            <w:r>
              <w:rPr>
                <w:rFonts w:cs="Libertinus Serif"/>
                <w:sz w:val="20"/>
                <w:szCs w:val="20"/>
              </w:rPr>
              <w:t>)</w:t>
            </w:r>
          </w:p>
        </w:tc>
      </w:tr>
      <w:tr w:rsidR="00913F62" w14:paraId="0A00A250" w14:textId="77777777" w:rsidTr="009E1CB9">
        <w:trPr>
          <w:gridAfter w:val="1"/>
          <w:wAfter w:w="34" w:type="dxa"/>
          <w:trHeight w:val="276"/>
        </w:trPr>
        <w:tc>
          <w:tcPr>
            <w:tcW w:w="7054" w:type="dxa"/>
            <w:gridSpan w:val="4"/>
          </w:tcPr>
          <w:p w14:paraId="28F2E9D0" w14:textId="2DE5BD38" w:rsidR="00913F62" w:rsidRDefault="009E1CB9" w:rsidP="00806FB7">
            <w:pPr>
              <w:pStyle w:val="Example"/>
            </w:pPr>
            <w:bookmarkStart w:id="1" w:name="_Ref135511131"/>
            <w:r>
              <w:rPr>
                <w:rFonts w:cs="Libertinus Serif"/>
              </w:rPr>
              <w:t>Welsh</w:t>
            </w:r>
            <w:r w:rsidR="00913F62">
              <w:rPr>
                <w:rFonts w:cs="Libertinus Serif"/>
              </w:rPr>
              <w:t xml:space="preserve"> </w:t>
            </w:r>
            <w:r w:rsidR="00913F62">
              <w:fldChar w:fldCharType="begin"/>
            </w:r>
            <w:r w:rsidR="00697FB9">
              <w:instrText xml:space="preserve"> ADDIN ZOTERO_ITEM CSL_CITATION {"citationID":"mUI2rRoK","properties":{"formattedCitation":"(Haspelmath/Karjus 2017: 1214)","plainCitation":"(Haspelmath/Karjus 2017: 1214)","noteIndex":0},"citationItems":[{"id":1732,"uris":["http://zotero.org/users/3655733/items/UR833STY"],"itemData":{"id":1732,"type":"article-journal","abstract":"This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marking","volume":"55","author":[{"family":"Haspelmath","given":"Martin"},{"family":"Karjus","given":"Andres"}],"issued":{"date-parts":[["2017",1,27]]}},"label":"page","suffix":": 1214"}],"schema":"https://github.com/citation-style-language/schema/raw/master/csl-citation.json"} </w:instrText>
            </w:r>
            <w:r w:rsidR="00913F62">
              <w:fldChar w:fldCharType="separate"/>
            </w:r>
            <w:r w:rsidR="00697FB9">
              <w:t>(Haspelmath/Karjus 2017: 1214)</w:t>
            </w:r>
            <w:r w:rsidR="00913F62">
              <w:fldChar w:fldCharType="end"/>
            </w:r>
            <w:bookmarkEnd w:id="1"/>
          </w:p>
        </w:tc>
      </w:tr>
      <w:tr w:rsidR="009E1CB9" w14:paraId="5F1C2B91" w14:textId="77777777" w:rsidTr="001A46DC">
        <w:tc>
          <w:tcPr>
            <w:tcW w:w="450" w:type="dxa"/>
          </w:tcPr>
          <w:p w14:paraId="555F910E" w14:textId="77777777" w:rsidR="009E1CB9" w:rsidRDefault="009E1CB9" w:rsidP="00806FB7">
            <w:pPr>
              <w:keepNext/>
              <w:widowControl w:val="0"/>
              <w:spacing w:before="0"/>
              <w:contextualSpacing/>
              <w:jc w:val="left"/>
              <w:rPr>
                <w:rFonts w:cs="Libertinus Serif"/>
                <w:sz w:val="20"/>
                <w:szCs w:val="20"/>
                <w:lang w:val="en-US"/>
              </w:rPr>
            </w:pPr>
          </w:p>
        </w:tc>
        <w:tc>
          <w:tcPr>
            <w:tcW w:w="651" w:type="dxa"/>
          </w:tcPr>
          <w:p w14:paraId="4E4CB68E" w14:textId="252E25C5" w:rsidR="009E1CB9" w:rsidRPr="009E1CB9" w:rsidRDefault="009E1CB9" w:rsidP="00806FB7">
            <w:pPr>
              <w:widowControl w:val="0"/>
              <w:spacing w:before="0"/>
              <w:contextualSpacing/>
              <w:jc w:val="left"/>
              <w:rPr>
                <w:rFonts w:cs="Libertinus Serif"/>
                <w:iCs/>
                <w:sz w:val="20"/>
                <w:szCs w:val="20"/>
                <w:lang w:val="en-US"/>
              </w:rPr>
            </w:pPr>
            <w:r>
              <w:rPr>
                <w:rFonts w:cs="Libertinus Serif"/>
                <w:iCs/>
                <w:sz w:val="20"/>
                <w:szCs w:val="20"/>
                <w:lang w:val="en-US"/>
              </w:rPr>
              <w:t>a.</w:t>
            </w:r>
          </w:p>
        </w:tc>
        <w:tc>
          <w:tcPr>
            <w:tcW w:w="1417" w:type="dxa"/>
          </w:tcPr>
          <w:p w14:paraId="700431B6" w14:textId="50F69A87" w:rsidR="009E1CB9" w:rsidRDefault="009E1CB9" w:rsidP="00806FB7">
            <w:pPr>
              <w:widowControl w:val="0"/>
              <w:spacing w:before="0"/>
              <w:contextualSpacing/>
              <w:jc w:val="left"/>
              <w:rPr>
                <w:rFonts w:cs="Libertinus Serif"/>
                <w:i/>
                <w:sz w:val="20"/>
                <w:szCs w:val="20"/>
                <w:lang w:val="vi-VN"/>
              </w:rPr>
            </w:pPr>
            <w:proofErr w:type="spellStart"/>
            <w:r w:rsidRPr="009E1CB9">
              <w:rPr>
                <w:rFonts w:cs="Libertinus Serif"/>
                <w:i/>
                <w:sz w:val="20"/>
                <w:szCs w:val="20"/>
                <w:lang w:val="en-US"/>
              </w:rPr>
              <w:t>pys-en</w:t>
            </w:r>
            <w:proofErr w:type="spellEnd"/>
            <w:r>
              <w:rPr>
                <w:rFonts w:cs="Libertinus Serif"/>
                <w:i/>
                <w:sz w:val="20"/>
                <w:szCs w:val="20"/>
                <w:lang w:val="en-US"/>
              </w:rPr>
              <w:t xml:space="preserve"> </w:t>
            </w:r>
            <w:r>
              <w:rPr>
                <w:rFonts w:cs="Libertinus Serif"/>
                <w:iCs/>
                <w:sz w:val="20"/>
                <w:szCs w:val="20"/>
                <w:lang w:val="en-US"/>
              </w:rPr>
              <w:t>‘pea’</w:t>
            </w:r>
          </w:p>
        </w:tc>
        <w:tc>
          <w:tcPr>
            <w:tcW w:w="4570" w:type="dxa"/>
            <w:gridSpan w:val="2"/>
          </w:tcPr>
          <w:p w14:paraId="0AFB208B" w14:textId="4F391F7C" w:rsidR="009E1CB9" w:rsidRDefault="009E1CB9" w:rsidP="009E1CB9">
            <w:pPr>
              <w:widowControl w:val="0"/>
              <w:spacing w:before="0"/>
              <w:contextualSpacing/>
              <w:jc w:val="left"/>
              <w:rPr>
                <w:rFonts w:cs="Libertinus Serif"/>
                <w:i/>
                <w:sz w:val="20"/>
                <w:szCs w:val="20"/>
                <w:lang w:val="vi-VN"/>
              </w:rPr>
            </w:pPr>
            <w:r>
              <w:rPr>
                <w:rFonts w:cs="Libertinus Serif"/>
                <w:iCs/>
                <w:sz w:val="20"/>
                <w:szCs w:val="20"/>
                <w:lang w:val="en-US"/>
              </w:rPr>
              <w:t>(</w:t>
            </w:r>
            <w:proofErr w:type="gramStart"/>
            <w:r>
              <w:rPr>
                <w:rFonts w:cs="Libertinus Serif"/>
                <w:iCs/>
                <w:sz w:val="20"/>
                <w:szCs w:val="20"/>
                <w:lang w:val="en-US"/>
              </w:rPr>
              <w:t>uniplex</w:t>
            </w:r>
            <w:proofErr w:type="gramEnd"/>
            <w:r>
              <w:rPr>
                <w:rFonts w:cs="Libertinus Serif"/>
                <w:iCs/>
                <w:sz w:val="20"/>
                <w:szCs w:val="20"/>
                <w:lang w:val="en-US"/>
              </w:rPr>
              <w:t xml:space="preserve"> meaning, singulative </w:t>
            </w:r>
            <w:r w:rsidR="008517E1">
              <w:rPr>
                <w:rFonts w:cs="Libertinus Serif"/>
                <w:iCs/>
                <w:sz w:val="20"/>
                <w:szCs w:val="20"/>
                <w:lang w:val="en-US"/>
              </w:rPr>
              <w:t>form</w:t>
            </w:r>
            <w:r>
              <w:rPr>
                <w:rFonts w:cs="Libertinus Serif"/>
                <w:iCs/>
                <w:sz w:val="20"/>
                <w:szCs w:val="20"/>
                <w:lang w:val="en-US"/>
              </w:rPr>
              <w:t>)</w:t>
            </w:r>
          </w:p>
        </w:tc>
      </w:tr>
      <w:tr w:rsidR="009E1CB9" w14:paraId="1A5126D9" w14:textId="77777777" w:rsidTr="00EF16C7">
        <w:trPr>
          <w:trHeight w:val="328"/>
        </w:trPr>
        <w:tc>
          <w:tcPr>
            <w:tcW w:w="450" w:type="dxa"/>
          </w:tcPr>
          <w:p w14:paraId="56C046EC" w14:textId="77777777" w:rsidR="009E1CB9" w:rsidRDefault="009E1CB9" w:rsidP="00806FB7">
            <w:pPr>
              <w:keepNext/>
              <w:widowControl w:val="0"/>
              <w:spacing w:before="0"/>
              <w:contextualSpacing/>
              <w:jc w:val="left"/>
              <w:rPr>
                <w:rFonts w:cs="Libertinus Serif"/>
                <w:sz w:val="20"/>
                <w:szCs w:val="20"/>
                <w:lang w:val="en-US"/>
              </w:rPr>
            </w:pPr>
          </w:p>
        </w:tc>
        <w:tc>
          <w:tcPr>
            <w:tcW w:w="651" w:type="dxa"/>
          </w:tcPr>
          <w:p w14:paraId="296D9F22" w14:textId="1B174F4E" w:rsidR="009E1CB9" w:rsidRDefault="009E1CB9" w:rsidP="00806FB7">
            <w:pPr>
              <w:widowControl w:val="0"/>
              <w:spacing w:before="0"/>
              <w:contextualSpacing/>
              <w:jc w:val="left"/>
              <w:rPr>
                <w:rFonts w:cs="Libertinus Serif"/>
                <w:sz w:val="20"/>
                <w:szCs w:val="20"/>
              </w:rPr>
            </w:pPr>
            <w:r>
              <w:rPr>
                <w:rFonts w:cs="Libertinus Serif"/>
                <w:sz w:val="20"/>
                <w:szCs w:val="20"/>
              </w:rPr>
              <w:t>b.</w:t>
            </w:r>
          </w:p>
        </w:tc>
        <w:tc>
          <w:tcPr>
            <w:tcW w:w="1417" w:type="dxa"/>
          </w:tcPr>
          <w:p w14:paraId="6D7E9532" w14:textId="66013C24" w:rsidR="009E1CB9" w:rsidRDefault="009E1CB9" w:rsidP="00806FB7">
            <w:pPr>
              <w:widowControl w:val="0"/>
              <w:spacing w:before="0"/>
              <w:contextualSpacing/>
              <w:jc w:val="left"/>
            </w:pPr>
            <w:proofErr w:type="spellStart"/>
            <w:r w:rsidRPr="009E1CB9">
              <w:rPr>
                <w:rFonts w:cs="Libertinus Serif"/>
                <w:i/>
                <w:iCs/>
                <w:sz w:val="20"/>
                <w:szCs w:val="20"/>
              </w:rPr>
              <w:t>pys</w:t>
            </w:r>
            <w:proofErr w:type="spellEnd"/>
            <w:r>
              <w:rPr>
                <w:rFonts w:cs="Libertinus Serif"/>
                <w:sz w:val="20"/>
                <w:szCs w:val="20"/>
              </w:rPr>
              <w:t>-ø ‘peas’</w:t>
            </w:r>
          </w:p>
        </w:tc>
        <w:tc>
          <w:tcPr>
            <w:tcW w:w="4570" w:type="dxa"/>
            <w:gridSpan w:val="2"/>
          </w:tcPr>
          <w:p w14:paraId="0F325E1D" w14:textId="0AD0ACEF" w:rsidR="009E1CB9" w:rsidRDefault="009E1CB9" w:rsidP="009E1CB9">
            <w:pPr>
              <w:widowControl w:val="0"/>
              <w:spacing w:before="0"/>
              <w:contextualSpacing/>
              <w:jc w:val="left"/>
              <w:rPr>
                <w:rFonts w:cs="Libertinus Serif"/>
                <w:sz w:val="20"/>
                <w:szCs w:val="20"/>
              </w:rPr>
            </w:pPr>
            <w:r>
              <w:rPr>
                <w:rFonts w:cs="Libertinus Serif"/>
                <w:sz w:val="20"/>
                <w:szCs w:val="20"/>
              </w:rPr>
              <w:t>(</w:t>
            </w:r>
            <w:proofErr w:type="gramStart"/>
            <w:r>
              <w:rPr>
                <w:rFonts w:cs="Libertinus Serif"/>
                <w:sz w:val="20"/>
                <w:szCs w:val="20"/>
              </w:rPr>
              <w:t>multiplex</w:t>
            </w:r>
            <w:proofErr w:type="gramEnd"/>
            <w:r>
              <w:rPr>
                <w:rFonts w:cs="Libertinus Serif"/>
                <w:sz w:val="20"/>
                <w:szCs w:val="20"/>
              </w:rPr>
              <w:t xml:space="preserve"> meaning, basic </w:t>
            </w:r>
            <w:r w:rsidR="008517E1">
              <w:rPr>
                <w:rFonts w:cs="Libertinus Serif"/>
                <w:sz w:val="20"/>
                <w:szCs w:val="20"/>
              </w:rPr>
              <w:t>form</w:t>
            </w:r>
            <w:r>
              <w:rPr>
                <w:rFonts w:cs="Libertinus Serif"/>
                <w:sz w:val="20"/>
                <w:szCs w:val="20"/>
              </w:rPr>
              <w:t>)</w:t>
            </w:r>
          </w:p>
        </w:tc>
      </w:tr>
    </w:tbl>
    <w:p w14:paraId="02CC12E7" w14:textId="310D558C" w:rsidR="0024169C" w:rsidRDefault="0024169C" w:rsidP="006D6390">
      <w:r>
        <w:t>Haspelmath</w:t>
      </w:r>
      <w:r w:rsidR="00A91211">
        <w:t>/</w:t>
      </w:r>
      <w:r>
        <w:t xml:space="preserve">Karjus </w:t>
      </w:r>
      <w:r w:rsidR="00697FB9">
        <w:fldChar w:fldCharType="begin"/>
      </w:r>
      <w:r w:rsidR="00697FB9">
        <w:instrText xml:space="preserve"> ADDIN ZOTERO_ITEM CSL_CITATION {"citationID":"g9TGJqLm","properties":{"formattedCitation":"(2017)","plainCitation":"(2017)","noteIndex":0},"citationItems":[{"id":1732,"uris":["http://zotero.org/users/3655733/items/UR833STY"],"itemData":{"id":1732,"type":"article-journal","abstract":"This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ppress-author":true}],"schema":"https://github.com/citation-style-language/schema/raw/master/csl-citation.json"} </w:instrText>
      </w:r>
      <w:r w:rsidR="00697FB9">
        <w:fldChar w:fldCharType="separate"/>
      </w:r>
      <w:r w:rsidR="00697FB9">
        <w:rPr>
          <w:noProof/>
        </w:rPr>
        <w:t>(2017)</w:t>
      </w:r>
      <w:r w:rsidR="00697FB9">
        <w:fldChar w:fldCharType="end"/>
      </w:r>
      <w:r w:rsidR="00DE6808">
        <w:t xml:space="preserve"> </w:t>
      </w:r>
      <w:r w:rsidR="00711F5A">
        <w:t>propose</w:t>
      </w:r>
      <w:r w:rsidR="00DE6808">
        <w:t xml:space="preserve"> that </w:t>
      </w:r>
      <w:r w:rsidR="00920902">
        <w:t>these coding asymmetries</w:t>
      </w:r>
      <w:r w:rsidR="00DE6808" w:rsidRPr="00DE6808">
        <w:t xml:space="preserve"> can be explained with reference to usage frequency</w:t>
      </w:r>
      <w:r w:rsidR="00151D44">
        <w:t xml:space="preserve"> </w:t>
      </w:r>
      <w:r w:rsidR="006550FF">
        <w:fldChar w:fldCharType="begin"/>
      </w:r>
      <w:r w:rsidR="00A000EB">
        <w:instrText xml:space="preserve"> ADDIN ZOTERO_ITEM CSL_CITATION {"citationID":"6TYtpssT","properties":{"formattedCitation":"(see also Zipf 1935; Fenk-Oczlon 1991; Hawkins 2004; Haspelmath 2008)","plainCitation":"(see also Zipf 1935; Fenk-Oczlon 1991; Hawkins 2004; Haspelmath 2008)","noteIndex":0},"citationItems":[{"id":12500,"uris":["http://zotero.org/users/3655733/items/PJ9DM774"],"itemData":{"id":12500,"type":"book","event-place":"Cambridge, MA","publisher":"MIT Press","publisher-place":"Cambridge, MA","title":"The psycho-biology of language: An introduction to dynamic philology","author":[{"family":"Zipf","given":"George Kingsley"}],"issued":{"date-parts":[["1935"]]}},"label":"page","prefix":"see also"},{"id":12501,"uris":["http://zotero.org/users/3655733/items/6ALUI6PV"],"itemData":{"id":12501,"type":"article-journal","container-title":"Folia Linguistica","DOI":"10.1515/flin.1991.25.3-4.361","ISSN":"0165-4004, 1614-7308","issue":"3-4","page":"361–394","source":"DOI.org (Crossref)","title":"Frequenz und Kognition–Frequenz und Markiertheit","volume":"25","author":[{"family":"Fenk-Oczlon","given":"Gertraud"}],"issued":{"date-parts":[["1991"]]}}},{"id":8715,"uris":["http://zotero.org/users/3655733/items/299VS7F6"],"itemData":{"id":8715,"type":"book","call-number":"P207 .H39 2004","event-place":"Oxford","ISBN":"978-0-19-925268-8","language":"en","note":"OCLC: ocm56655303","number-of-pages":"303","publisher":"Oxford University Press","publisher-place":"Oxford","source":"Library of Congress ISBN","title":"Efficiency and complexity in grammars","author":[{"family":"Hawkins","given":"John A."}],"issued":{"date-parts":[["2004"]]}}},{"id":2654,"uris":["http://zotero.org/users/3655733/items/EZIPW966"],"itemData":{"id":2654,"type":"article-journal","abstract":"This paper argues that three widely accepted motivating factors subsumed under the broad heading of iconicity, namely iconicity of quantity, iconicity of complexity and iconicity of cohesion, in fact have no role in explaining grammatical asymmetries and should be discarded. The iconicity accounts of the relevant phenomena have been proposed by authorities like Jakobson, Haiman and Givo´n, but I argue that these linguists did not su‰ciently consider alternative usage-based explanations in terms of frequency of use. A closer look shows that the well-known Zipﬁan e¤ects of frequency of use (leading to shortness and fusion) can be made responsible for all of the alleged iconicity e¤ects, and initial corpus data for a range of phenomena conﬁrm the correctness of the approach.","container-title":"Cognitive Linguistics","DOI":"10.1515/COG.2008.001","ISSN":"0936-5907, 1613-3641","issue":"1","language":"en","page":"1-33","source":"DOI.org (Crossref)","title":"Frequency vs. iconicity in explaining grammatical asymmetries","volume":"19","author":[{"family":"Haspelmath","given":"Martin"}],"issued":{"date-parts":[["2008",1,1]]}}}],"schema":"https://github.com/citation-style-language/schema/raw/master/csl-citation.json"} </w:instrText>
      </w:r>
      <w:r w:rsidR="006550FF">
        <w:fldChar w:fldCharType="separate"/>
      </w:r>
      <w:r w:rsidR="006550FF">
        <w:rPr>
          <w:noProof/>
        </w:rPr>
        <w:t>(see also Zipf 1935; Fenk-Oczlon 1991; Hawkins 2004; Haspelmath 2008)</w:t>
      </w:r>
      <w:r w:rsidR="006550FF">
        <w:fldChar w:fldCharType="end"/>
      </w:r>
      <w:r w:rsidR="00C96676">
        <w:t xml:space="preserve">. </w:t>
      </w:r>
      <w:r w:rsidR="00E922BF">
        <w:t xml:space="preserve">Namely, </w:t>
      </w:r>
      <w:r w:rsidR="00375D0A">
        <w:t>more coding is used for less frequent meaning</w:t>
      </w:r>
      <w:r w:rsidR="00DB1324">
        <w:t xml:space="preserve">s: </w:t>
      </w:r>
      <w:r w:rsidR="004008BD">
        <w:t xml:space="preserve">across languages, </w:t>
      </w:r>
      <w:r w:rsidR="00E922BF" w:rsidRPr="00E922BF">
        <w:t>plurative-prominent meanings</w:t>
      </w:r>
      <w:r w:rsidR="00F00ABB">
        <w:t xml:space="preserve"> (i.e., </w:t>
      </w:r>
      <w:r w:rsidR="00F00ABB" w:rsidRPr="00F00ABB">
        <w:t>noun meanings that are frequently expressed by plurative lexemes</w:t>
      </w:r>
      <w:r w:rsidR="00F00ABB">
        <w:t>)</w:t>
      </w:r>
      <w:r w:rsidR="00E922BF" w:rsidRPr="00E922BF">
        <w:t xml:space="preserve"> tend to occur frequently in uniplex use</w:t>
      </w:r>
      <w:r w:rsidR="00E922BF">
        <w:t xml:space="preserve">, while </w:t>
      </w:r>
      <w:r w:rsidR="00E922BF" w:rsidRPr="00E922BF">
        <w:t>singulative-prominent meanings</w:t>
      </w:r>
      <w:r w:rsidR="0016551C">
        <w:t xml:space="preserve"> (</w:t>
      </w:r>
      <w:r w:rsidR="0016551C" w:rsidRPr="0016551C">
        <w:t>noun meanings that are frequently expressed by singulative lexemes</w:t>
      </w:r>
      <w:r w:rsidR="0016551C">
        <w:t>)</w:t>
      </w:r>
      <w:r w:rsidR="00E922BF" w:rsidRPr="00E922BF">
        <w:t xml:space="preserve"> tend to occur frequently in multiplex use</w:t>
      </w:r>
      <w:r w:rsidR="00B4430D">
        <w:t xml:space="preserve"> </w:t>
      </w:r>
      <w:r w:rsidR="006A401F">
        <w:fldChar w:fldCharType="begin"/>
      </w:r>
      <w:r w:rsidR="006A401F">
        <w:instrText xml:space="preserve"> ADDIN ZOTERO_ITEM CSL_CITATION {"citationID":"iCBg5eC4","properties":{"formattedCitation":"(Haspelmath/Karjus 2017: 1219)","plainCitation":"(Haspelmath/Karjus 2017: 1219)","noteIndex":0},"citationItems":[{"id":1732,"uris":["http://zotero.org/users/3655733/items/UR833STY"],"itemData":{"id":1732,"type":"article-journal","abstract":"This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marking","volume":"55","author":[{"family":"Haspelmath","given":"Martin"},{"family":"Karjus","given":"Andres"}],"issued":{"date-parts":[["2017",1,27]]}},"label":"page","suffix":": 1219"}],"schema":"https://github.com/citation-style-language/schema/raw/master/csl-citation.json"} </w:instrText>
      </w:r>
      <w:r w:rsidR="006A401F">
        <w:fldChar w:fldCharType="separate"/>
      </w:r>
      <w:r w:rsidR="006A401F">
        <w:rPr>
          <w:noProof/>
        </w:rPr>
        <w:t>(Haspelmath/Karjus 2017: 1219)</w:t>
      </w:r>
      <w:r w:rsidR="006A401F">
        <w:fldChar w:fldCharType="end"/>
      </w:r>
      <w:r w:rsidR="00E922BF">
        <w:t>.</w:t>
      </w:r>
      <w:r w:rsidR="00BD51D7">
        <w:t xml:space="preserve"> </w:t>
      </w:r>
      <w:r w:rsidR="00920902">
        <w:t>Empirically,</w:t>
      </w:r>
      <w:r w:rsidR="003E161C">
        <w:t xml:space="preserve"> Haspelmath/Karjus</w:t>
      </w:r>
      <w:r w:rsidR="008F2F0D">
        <w:t xml:space="preserve"> (2017)</w:t>
      </w:r>
      <w:r w:rsidR="00920902">
        <w:t xml:space="preserve"> provide corpus evidence from five number-marking languages (English, Estonian, Latvian, Norwegian, and Russian).</w:t>
      </w:r>
    </w:p>
    <w:p w14:paraId="1E6A5E96" w14:textId="458E97C4" w:rsidR="009B4502" w:rsidRDefault="0024169C" w:rsidP="009B4502">
      <w:pPr>
        <w:pStyle w:val="Heading1"/>
      </w:pPr>
      <w:r w:rsidRPr="003E0BC1">
        <w:t>Research questions</w:t>
      </w:r>
    </w:p>
    <w:p w14:paraId="6E35F167" w14:textId="18FF7064" w:rsidR="008517E1" w:rsidRDefault="0024169C" w:rsidP="008517E1">
      <w:r>
        <w:t>This paper is a replication and extension study of Haspelmath</w:t>
      </w:r>
      <w:r w:rsidR="00B500FF">
        <w:t>/</w:t>
      </w:r>
      <w:r>
        <w:t xml:space="preserve">Karjus (2017) from a contrastive linguistic perspective. </w:t>
      </w:r>
      <w:r w:rsidR="008517E1">
        <w:t xml:space="preserve">Crucially, we test their hypothesis not only against languages with obligatory number marking but also against general number languages, “in which the meaning of the noun can be expressed without reference to number” </w:t>
      </w:r>
      <w:r w:rsidR="008517E1">
        <w:fldChar w:fldCharType="begin"/>
      </w:r>
      <w:r w:rsidR="008517E1">
        <w:instrText xml:space="preserve"> ADDIN ZOTERO_ITEM CSL_CITATION {"citationID":"r9JEdtQy","properties":{"formattedCitation":"(Corbett 2000: 10)","plainCitation":"(Corbett 2000: 10)","noteIndex":0},"citationItems":[{"id":10963,"uris":["http://zotero.org/users/3655733/items/PC68EPIR","http://zotero.org/users/3655733/items/QWZVKSFP"],"itemData":{"id":10963,"type":"book","call-number":"P240.8 .C67 2000","event-place":"Cambridge","ISBN":"978-0-521-64016-9","number-of-pages":"358","publisher":"Cambridge University Press","publisher-place":"Cambridge","source":"Library of Congress ISBN","title":"Number","author":[{"family":"Corbett","given":"Greville G."}],"issued":{"date-parts":[["2000"]]}},"label":"page","suffix":": 10"}],"schema":"https://github.com/citation-style-language/schema/raw/master/csl-citation.json"} </w:instrText>
      </w:r>
      <w:r w:rsidR="008517E1">
        <w:fldChar w:fldCharType="separate"/>
      </w:r>
      <w:r w:rsidR="008517E1">
        <w:rPr>
          <w:noProof/>
        </w:rPr>
        <w:t>(Corbett 2000: 10)</w:t>
      </w:r>
      <w:r w:rsidR="008517E1">
        <w:fldChar w:fldCharType="end"/>
      </w:r>
      <w:r w:rsidR="008517E1">
        <w:t>.</w:t>
      </w:r>
    </w:p>
    <w:p w14:paraId="5B48457E" w14:textId="7A9CAFFD" w:rsidR="00F53E60" w:rsidRDefault="008517E1" w:rsidP="0024169C">
      <w:r>
        <w:t>The present paper</w:t>
      </w:r>
      <w:r w:rsidR="00FB7F99">
        <w:t xml:space="preserve"> </w:t>
      </w:r>
      <w:r w:rsidR="00702649">
        <w:t>seeks to address</w:t>
      </w:r>
      <w:r w:rsidR="00F53E60">
        <w:t xml:space="preserve"> two research questions</w:t>
      </w:r>
      <w:r w:rsidR="0068360E">
        <w:t>.</w:t>
      </w:r>
    </w:p>
    <w:p w14:paraId="4BA29A2F" w14:textId="700820DC" w:rsidR="0024169C" w:rsidRDefault="0024169C" w:rsidP="0024169C">
      <w:r>
        <w:t>[A] Is Haspelmath</w:t>
      </w:r>
      <w:r w:rsidR="00C508B2">
        <w:rPr>
          <w:lang w:val="en-US" w:eastAsia="ja-JP"/>
        </w:rPr>
        <w:t>/</w:t>
      </w:r>
      <w:r>
        <w:t xml:space="preserve">Karjus’ </w:t>
      </w:r>
      <w:r w:rsidR="00081FFB">
        <w:fldChar w:fldCharType="begin"/>
      </w:r>
      <w:r w:rsidR="00081FFB">
        <w:instrText xml:space="preserve"> ADDIN ZOTERO_ITEM CSL_CITATION {"citationID":"AQWdwagM","properties":{"formattedCitation":"(2017)","plainCitation":"(2017)","noteIndex":0},"citationItems":[{"id":1732,"uris":["http://zotero.org/users/3655733/items/UR833STY"],"itemData":{"id":1732,"type":"article-journal","abstract":"This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ppress-author":true}],"schema":"https://github.com/citation-style-language/schema/raw/master/csl-citation.json"} </w:instrText>
      </w:r>
      <w:r w:rsidR="00081FFB">
        <w:fldChar w:fldCharType="separate"/>
      </w:r>
      <w:r w:rsidR="00081FFB">
        <w:rPr>
          <w:noProof/>
        </w:rPr>
        <w:t>(2017)</w:t>
      </w:r>
      <w:r w:rsidR="00081FFB">
        <w:fldChar w:fldCharType="end"/>
      </w:r>
      <w:r>
        <w:t xml:space="preserve"> hypothesis replicated in other languages with obligatory number marking, </w:t>
      </w:r>
      <w:r w:rsidR="00702649">
        <w:t>including</w:t>
      </w:r>
      <w:r>
        <w:t xml:space="preserve"> singulative languages such as Sinhala?</w:t>
      </w:r>
    </w:p>
    <w:p w14:paraId="3801D56A" w14:textId="7843E34B" w:rsidR="0024169C" w:rsidRDefault="0024169C" w:rsidP="0024169C">
      <w:r>
        <w:lastRenderedPageBreak/>
        <w:t xml:space="preserve">[B] Are </w:t>
      </w:r>
      <w:r w:rsidR="004E0D10">
        <w:t>singulative</w:t>
      </w:r>
      <w:r>
        <w:t>-prominent lexemes more frequently used with a multiplex meaning than with a uniplex meaning even in general number languages?</w:t>
      </w:r>
    </w:p>
    <w:p w14:paraId="3D1EDE92" w14:textId="6640BC02" w:rsidR="009B4502" w:rsidRDefault="0024169C" w:rsidP="009B4502">
      <w:pPr>
        <w:pStyle w:val="Heading1"/>
      </w:pPr>
      <w:r w:rsidRPr="003E0BC1">
        <w:t>Methods</w:t>
      </w:r>
    </w:p>
    <w:p w14:paraId="52CB15A5" w14:textId="24025647" w:rsidR="00702649" w:rsidRDefault="008F2F0D" w:rsidP="0024169C">
      <w:r w:rsidRPr="008F2F0D">
        <w:rPr>
          <w:rFonts w:cs="Libertinus Serif"/>
          <w:color w:val="000000"/>
        </w:rPr>
        <w:t>To</w:t>
      </w:r>
      <w:r w:rsidR="0024169C">
        <w:t xml:space="preserve"> answer the</w:t>
      </w:r>
      <w:r w:rsidR="002103EB">
        <w:t>se</w:t>
      </w:r>
      <w:r w:rsidR="0024169C">
        <w:t xml:space="preserve"> two questions, we examined large corpora from four number-marking languages (Hindi, Sinhala, Spanish, and Swedish) and </w:t>
      </w:r>
      <w:r w:rsidR="00C85193">
        <w:t>s</w:t>
      </w:r>
      <w:r w:rsidR="00DB56A6">
        <w:t>even</w:t>
      </w:r>
      <w:r w:rsidR="0024169C">
        <w:t xml:space="preserve"> general number languages (</w:t>
      </w:r>
      <w:r w:rsidR="00A21A74">
        <w:t>Bengali,</w:t>
      </w:r>
      <w:r w:rsidR="00DB56A6">
        <w:t xml:space="preserve"> Indonesian,</w:t>
      </w:r>
      <w:r w:rsidR="00A21A74">
        <w:t xml:space="preserve"> </w:t>
      </w:r>
      <w:r w:rsidR="0024169C">
        <w:t>Japanese</w:t>
      </w:r>
      <w:r w:rsidR="000E010C">
        <w:t>,</w:t>
      </w:r>
      <w:r w:rsidR="0024169C">
        <w:t xml:space="preserve"> Korean, Tagalog, Turkish, and Quechua)</w:t>
      </w:r>
      <w:r w:rsidR="00FA7FC4">
        <w:t xml:space="preserve"> (Table 1)</w:t>
      </w:r>
      <w:r w:rsidR="0024169C">
        <w:t>.</w:t>
      </w:r>
      <w:r w:rsidR="002416FB">
        <w:t xml:space="preserve"> </w:t>
      </w:r>
      <w:r w:rsidR="0091663A">
        <w:t>Following Haspelmath</w:t>
      </w:r>
      <w:r w:rsidR="00A91211">
        <w:t>/</w:t>
      </w:r>
      <w:r w:rsidR="0091663A">
        <w:t xml:space="preserve">Karjus (2017), we </w:t>
      </w:r>
      <w:r w:rsidR="00A000EB">
        <w:t>analysed</w:t>
      </w:r>
      <w:r w:rsidR="0091663A">
        <w:t xml:space="preserve"> the frequencies of 18 lexemes in each language: EAR, LEG, LUNG, GLOVE, SHOE, SKI, APPLE, POTATO, STRAWBERRY, BEE, PIGEON, SHEEP, CHILD, BOY, GIRL, EUROPEAN, AMERICAN, SPEAKER OF (THE RESPECTIVE LANGUAGE). These lexemes are </w:t>
      </w:r>
      <w:r w:rsidR="006B1D15">
        <w:t>singulative</w:t>
      </w:r>
      <w:r w:rsidR="0091663A">
        <w:t>-prominent in the sense that they crosslinguistically tend to receive singulative marking. In addition, we looked at 18 random lexemes in each language, with the hypothesis that random lexemes would not exhibit the same usage patterns as the 18</w:t>
      </w:r>
      <w:r w:rsidR="006B1D15">
        <w:t xml:space="preserve"> singulative</w:t>
      </w:r>
      <w:r w:rsidR="0091663A">
        <w:t>-prominent lexemes.</w:t>
      </w:r>
    </w:p>
    <w:p w14:paraId="37F19E33" w14:textId="77777777" w:rsidR="002416FB" w:rsidRPr="002416FB" w:rsidRDefault="002416FB" w:rsidP="002416FB"/>
    <w:tbl>
      <w:tblPr>
        <w:tblW w:w="7949" w:type="dxa"/>
        <w:tblInd w:w="-16" w:type="dxa"/>
        <w:tblLayout w:type="fixed"/>
        <w:tblLook w:val="0000" w:firstRow="0" w:lastRow="0" w:firstColumn="0" w:lastColumn="0" w:noHBand="0" w:noVBand="0"/>
      </w:tblPr>
      <w:tblGrid>
        <w:gridCol w:w="1429"/>
        <w:gridCol w:w="1843"/>
        <w:gridCol w:w="1842"/>
        <w:gridCol w:w="2835"/>
      </w:tblGrid>
      <w:tr w:rsidR="0024169C" w14:paraId="182B1577"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7A87018B" w14:textId="60AA6297" w:rsidR="0024169C" w:rsidRPr="0024169C" w:rsidRDefault="0024169C" w:rsidP="00806FB7">
            <w:pPr>
              <w:pStyle w:val="Tabellenberschrift"/>
              <w:widowControl/>
              <w:suppressAutoHyphens/>
              <w:spacing w:before="0"/>
              <w:rPr>
                <w:lang w:val="en-US"/>
              </w:rPr>
            </w:pPr>
            <w:r>
              <w:rPr>
                <w:rStyle w:val="Strong"/>
                <w:rFonts w:ascii="Calibri" w:hAnsi="Calibri"/>
                <w:b/>
                <w:sz w:val="22"/>
                <w:lang w:eastAsia="ja-JP"/>
              </w:rPr>
              <w:t>Language</w:t>
            </w:r>
          </w:p>
        </w:tc>
        <w:tc>
          <w:tcPr>
            <w:tcW w:w="1843" w:type="dxa"/>
            <w:tcBorders>
              <w:top w:val="single" w:sz="4" w:space="0" w:color="000000"/>
              <w:left w:val="single" w:sz="4" w:space="0" w:color="000000"/>
              <w:bottom w:val="single" w:sz="4" w:space="0" w:color="000000"/>
              <w:right w:val="single" w:sz="4" w:space="0" w:color="000000"/>
            </w:tcBorders>
          </w:tcPr>
          <w:p w14:paraId="28532B5E" w14:textId="50D9481A" w:rsidR="0024169C" w:rsidRDefault="0024169C" w:rsidP="00806FB7">
            <w:pPr>
              <w:pStyle w:val="Tabellenberschrift"/>
              <w:widowControl/>
              <w:suppressAutoHyphens/>
              <w:spacing w:before="0"/>
            </w:pPr>
            <w:r>
              <w:rPr>
                <w:rStyle w:val="Strong"/>
                <w:rFonts w:ascii="Calibri" w:hAnsi="Calibri"/>
                <w:b/>
                <w:sz w:val="22"/>
              </w:rPr>
              <w:t>Language family</w:t>
            </w:r>
          </w:p>
        </w:tc>
        <w:tc>
          <w:tcPr>
            <w:tcW w:w="1842" w:type="dxa"/>
            <w:tcBorders>
              <w:top w:val="single" w:sz="4" w:space="0" w:color="000000"/>
              <w:left w:val="single" w:sz="4" w:space="0" w:color="000000"/>
              <w:bottom w:val="single" w:sz="4" w:space="0" w:color="000000"/>
              <w:right w:val="single" w:sz="4" w:space="0" w:color="000000"/>
            </w:tcBorders>
          </w:tcPr>
          <w:p w14:paraId="1EC8483F" w14:textId="3B2B60C3" w:rsidR="0024169C" w:rsidRDefault="0024169C" w:rsidP="00806FB7">
            <w:pPr>
              <w:pStyle w:val="Tabellenberschrift"/>
              <w:widowControl/>
              <w:suppressAutoHyphens/>
              <w:spacing w:before="0"/>
              <w:rPr>
                <w:rStyle w:val="Strong"/>
                <w:rFonts w:ascii="Calibri" w:hAnsi="Calibri"/>
                <w:b/>
                <w:sz w:val="22"/>
              </w:rPr>
            </w:pPr>
            <w:r>
              <w:rPr>
                <w:rStyle w:val="Strong"/>
                <w:rFonts w:ascii="Calibri" w:hAnsi="Calibri"/>
                <w:b/>
                <w:sz w:val="22"/>
              </w:rPr>
              <w:t>Language type</w:t>
            </w:r>
          </w:p>
        </w:tc>
        <w:tc>
          <w:tcPr>
            <w:tcW w:w="2835" w:type="dxa"/>
            <w:tcBorders>
              <w:top w:val="single" w:sz="4" w:space="0" w:color="000000"/>
              <w:left w:val="single" w:sz="4" w:space="0" w:color="000000"/>
              <w:bottom w:val="single" w:sz="4" w:space="0" w:color="000000"/>
              <w:right w:val="single" w:sz="4" w:space="0" w:color="000000"/>
            </w:tcBorders>
          </w:tcPr>
          <w:p w14:paraId="19B38CBE" w14:textId="20EC2807" w:rsidR="0024169C" w:rsidRDefault="0024169C" w:rsidP="00806FB7">
            <w:pPr>
              <w:pStyle w:val="Tabellenberschrift"/>
              <w:widowControl/>
              <w:suppressAutoHyphens/>
              <w:spacing w:before="0"/>
            </w:pPr>
            <w:r>
              <w:rPr>
                <w:rStyle w:val="Strong"/>
                <w:rFonts w:ascii="Calibri" w:hAnsi="Calibri"/>
                <w:b/>
                <w:sz w:val="22"/>
              </w:rPr>
              <w:t>Corpus</w:t>
            </w:r>
          </w:p>
        </w:tc>
      </w:tr>
      <w:tr w:rsidR="0024169C" w14:paraId="76934A1B"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47E331CC" w14:textId="6D295DCB" w:rsidR="0024169C" w:rsidRPr="0024169C" w:rsidRDefault="0024169C" w:rsidP="00806FB7">
            <w:pPr>
              <w:pStyle w:val="Tabelleninhalt"/>
              <w:widowControl/>
              <w:suppressAutoHyphens/>
              <w:spacing w:before="0"/>
              <w:jc w:val="left"/>
              <w:rPr>
                <w:rFonts w:ascii="Calibri" w:hAnsi="Calibri"/>
                <w:sz w:val="22"/>
              </w:rPr>
            </w:pPr>
            <w:r w:rsidRPr="0024169C">
              <w:rPr>
                <w:rFonts w:ascii="Calibri" w:hAnsi="Calibri"/>
                <w:sz w:val="22"/>
              </w:rPr>
              <w:t>Hindi</w:t>
            </w:r>
          </w:p>
        </w:tc>
        <w:tc>
          <w:tcPr>
            <w:tcW w:w="1843" w:type="dxa"/>
            <w:tcBorders>
              <w:top w:val="single" w:sz="4" w:space="0" w:color="000000"/>
              <w:left w:val="single" w:sz="4" w:space="0" w:color="000000"/>
              <w:bottom w:val="single" w:sz="4" w:space="0" w:color="000000"/>
              <w:right w:val="single" w:sz="4" w:space="0" w:color="000000"/>
            </w:tcBorders>
          </w:tcPr>
          <w:p w14:paraId="71FA4875" w14:textId="593CFE8F" w:rsidR="0024169C" w:rsidRPr="0024169C" w:rsidRDefault="0024169C" w:rsidP="00806FB7">
            <w:pPr>
              <w:pStyle w:val="Tabelleninhalt"/>
              <w:widowControl/>
              <w:suppressAutoHyphens/>
              <w:spacing w:before="0"/>
              <w:jc w:val="left"/>
              <w:rPr>
                <w:sz w:val="22"/>
              </w:rPr>
            </w:pPr>
            <w:r w:rsidRPr="0024169C">
              <w:rPr>
                <w:sz w:val="22"/>
              </w:rPr>
              <w:t>Indo-European</w:t>
            </w:r>
          </w:p>
        </w:tc>
        <w:tc>
          <w:tcPr>
            <w:tcW w:w="1842" w:type="dxa"/>
            <w:tcBorders>
              <w:top w:val="single" w:sz="4" w:space="0" w:color="000000"/>
              <w:left w:val="single" w:sz="4" w:space="0" w:color="000000"/>
              <w:bottom w:val="single" w:sz="4" w:space="0" w:color="000000"/>
              <w:right w:val="single" w:sz="4" w:space="0" w:color="000000"/>
            </w:tcBorders>
          </w:tcPr>
          <w:p w14:paraId="7DCF0778" w14:textId="2B31E5A1" w:rsidR="0024169C" w:rsidRPr="0024169C" w:rsidRDefault="003E0BC1" w:rsidP="00806FB7">
            <w:pPr>
              <w:pStyle w:val="Tabelleninhalt"/>
              <w:widowControl/>
              <w:suppressAutoHyphens/>
              <w:spacing w:before="0"/>
              <w:jc w:val="left"/>
              <w:rPr>
                <w:sz w:val="22"/>
              </w:rPr>
            </w:pPr>
            <w:r>
              <w:rPr>
                <w:sz w:val="22"/>
              </w:rPr>
              <w:t>plurative</w:t>
            </w:r>
          </w:p>
        </w:tc>
        <w:tc>
          <w:tcPr>
            <w:tcW w:w="2835" w:type="dxa"/>
            <w:tcBorders>
              <w:top w:val="single" w:sz="4" w:space="0" w:color="000000"/>
              <w:left w:val="single" w:sz="4" w:space="0" w:color="000000"/>
              <w:bottom w:val="single" w:sz="4" w:space="0" w:color="000000"/>
              <w:right w:val="single" w:sz="4" w:space="0" w:color="000000"/>
            </w:tcBorders>
          </w:tcPr>
          <w:p w14:paraId="29BA992E" w14:textId="02FC22DC" w:rsidR="0024169C" w:rsidRPr="0024169C" w:rsidRDefault="00A21A74" w:rsidP="00806FB7">
            <w:pPr>
              <w:pStyle w:val="Tabelleninhalt"/>
              <w:widowControl/>
              <w:suppressAutoHyphens/>
              <w:spacing w:before="0"/>
              <w:jc w:val="left"/>
              <w:rPr>
                <w:sz w:val="22"/>
              </w:rPr>
            </w:pPr>
            <w:r>
              <w:rPr>
                <w:sz w:val="22"/>
              </w:rPr>
              <w:t>hiTenTen17</w:t>
            </w:r>
          </w:p>
        </w:tc>
      </w:tr>
      <w:tr w:rsidR="00A21A74" w14:paraId="75AC7987"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5F1CDD6A" w14:textId="1E5031D7" w:rsidR="00A21A74" w:rsidRPr="0024169C" w:rsidRDefault="00A21A74" w:rsidP="00A21A74">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Spanish</w:t>
            </w:r>
          </w:p>
        </w:tc>
        <w:tc>
          <w:tcPr>
            <w:tcW w:w="1843" w:type="dxa"/>
            <w:tcBorders>
              <w:top w:val="single" w:sz="4" w:space="0" w:color="000000"/>
              <w:left w:val="single" w:sz="4" w:space="0" w:color="000000"/>
              <w:bottom w:val="single" w:sz="4" w:space="0" w:color="000000"/>
              <w:right w:val="single" w:sz="4" w:space="0" w:color="000000"/>
            </w:tcBorders>
          </w:tcPr>
          <w:p w14:paraId="71670D23" w14:textId="0594C300" w:rsidR="00A21A74" w:rsidRPr="0024169C" w:rsidRDefault="00A21A74" w:rsidP="00A21A74">
            <w:pPr>
              <w:pStyle w:val="Tabelleninhalt"/>
              <w:widowControl/>
              <w:suppressAutoHyphens/>
              <w:spacing w:before="0"/>
              <w:jc w:val="left"/>
              <w:rPr>
                <w:rFonts w:ascii="Calibri" w:hAnsi="Calibri"/>
                <w:sz w:val="22"/>
              </w:rPr>
            </w:pPr>
            <w:r w:rsidRPr="0024169C">
              <w:rPr>
                <w:rFonts w:ascii="Calibri" w:hAnsi="Calibri"/>
                <w:sz w:val="22"/>
              </w:rPr>
              <w:t>Indo-European</w:t>
            </w:r>
          </w:p>
        </w:tc>
        <w:tc>
          <w:tcPr>
            <w:tcW w:w="1842" w:type="dxa"/>
            <w:tcBorders>
              <w:top w:val="single" w:sz="4" w:space="0" w:color="000000"/>
              <w:left w:val="single" w:sz="4" w:space="0" w:color="000000"/>
              <w:bottom w:val="single" w:sz="4" w:space="0" w:color="000000"/>
              <w:right w:val="single" w:sz="4" w:space="0" w:color="000000"/>
            </w:tcBorders>
          </w:tcPr>
          <w:p w14:paraId="2E03CB17" w14:textId="37098BD3"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plurative</w:t>
            </w:r>
          </w:p>
        </w:tc>
        <w:tc>
          <w:tcPr>
            <w:tcW w:w="2835" w:type="dxa"/>
            <w:tcBorders>
              <w:top w:val="single" w:sz="4" w:space="0" w:color="000000"/>
              <w:left w:val="single" w:sz="4" w:space="0" w:color="000000"/>
              <w:bottom w:val="single" w:sz="4" w:space="0" w:color="000000"/>
              <w:right w:val="single" w:sz="4" w:space="0" w:color="000000"/>
            </w:tcBorders>
          </w:tcPr>
          <w:p w14:paraId="196FEB8F" w14:textId="0445F9AB"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esTenTen18</w:t>
            </w:r>
          </w:p>
        </w:tc>
      </w:tr>
      <w:tr w:rsidR="00A21A74" w14:paraId="321C3B1A"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67F58511" w14:textId="0B87CAB3" w:rsidR="00A21A74" w:rsidRPr="0024169C" w:rsidRDefault="00A21A74" w:rsidP="00A21A74">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Swedish</w:t>
            </w:r>
          </w:p>
        </w:tc>
        <w:tc>
          <w:tcPr>
            <w:tcW w:w="1843" w:type="dxa"/>
            <w:tcBorders>
              <w:top w:val="single" w:sz="4" w:space="0" w:color="000000"/>
              <w:left w:val="single" w:sz="4" w:space="0" w:color="000000"/>
              <w:bottom w:val="single" w:sz="4" w:space="0" w:color="000000"/>
              <w:right w:val="single" w:sz="4" w:space="0" w:color="000000"/>
            </w:tcBorders>
          </w:tcPr>
          <w:p w14:paraId="50FEC8C6" w14:textId="7377E3A1" w:rsidR="00A21A74" w:rsidRPr="0024169C" w:rsidRDefault="00A21A74" w:rsidP="00A21A74">
            <w:pPr>
              <w:pStyle w:val="Tabelleninhalt"/>
              <w:widowControl/>
              <w:suppressAutoHyphens/>
              <w:spacing w:before="0"/>
              <w:jc w:val="left"/>
              <w:rPr>
                <w:rFonts w:ascii="Calibri" w:hAnsi="Calibri"/>
                <w:sz w:val="22"/>
              </w:rPr>
            </w:pPr>
            <w:r w:rsidRPr="0024169C">
              <w:rPr>
                <w:rFonts w:ascii="Calibri" w:hAnsi="Calibri"/>
                <w:sz w:val="22"/>
              </w:rPr>
              <w:t>Indo-European</w:t>
            </w:r>
          </w:p>
        </w:tc>
        <w:tc>
          <w:tcPr>
            <w:tcW w:w="1842" w:type="dxa"/>
            <w:tcBorders>
              <w:top w:val="single" w:sz="4" w:space="0" w:color="000000"/>
              <w:left w:val="single" w:sz="4" w:space="0" w:color="000000"/>
              <w:bottom w:val="single" w:sz="4" w:space="0" w:color="000000"/>
              <w:right w:val="single" w:sz="4" w:space="0" w:color="000000"/>
            </w:tcBorders>
          </w:tcPr>
          <w:p w14:paraId="3B38E756" w14:textId="596496F1"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plurative</w:t>
            </w:r>
          </w:p>
        </w:tc>
        <w:tc>
          <w:tcPr>
            <w:tcW w:w="2835" w:type="dxa"/>
            <w:tcBorders>
              <w:top w:val="single" w:sz="4" w:space="0" w:color="000000"/>
              <w:left w:val="single" w:sz="4" w:space="0" w:color="000000"/>
              <w:bottom w:val="single" w:sz="4" w:space="0" w:color="000000"/>
              <w:right w:val="single" w:sz="4" w:space="0" w:color="000000"/>
            </w:tcBorders>
          </w:tcPr>
          <w:p w14:paraId="59692779" w14:textId="02FF7458"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svTenTen14</w:t>
            </w:r>
          </w:p>
        </w:tc>
      </w:tr>
      <w:tr w:rsidR="00A21A74" w14:paraId="53821982"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43EBE973" w14:textId="2CFC41CE" w:rsidR="00A21A74" w:rsidRPr="0024169C" w:rsidRDefault="00A21A74" w:rsidP="00A21A74">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Sinhala</w:t>
            </w:r>
          </w:p>
        </w:tc>
        <w:tc>
          <w:tcPr>
            <w:tcW w:w="1843" w:type="dxa"/>
            <w:tcBorders>
              <w:top w:val="single" w:sz="4" w:space="0" w:color="000000"/>
              <w:left w:val="single" w:sz="4" w:space="0" w:color="000000"/>
              <w:bottom w:val="single" w:sz="4" w:space="0" w:color="000000"/>
              <w:right w:val="single" w:sz="4" w:space="0" w:color="000000"/>
            </w:tcBorders>
          </w:tcPr>
          <w:p w14:paraId="4C67BB97" w14:textId="64754DBB" w:rsidR="00A21A74" w:rsidRPr="0024169C" w:rsidRDefault="00A21A74" w:rsidP="00A21A74">
            <w:pPr>
              <w:pStyle w:val="Tabelleninhalt"/>
              <w:widowControl/>
              <w:suppressAutoHyphens/>
              <w:spacing w:before="0"/>
              <w:jc w:val="left"/>
              <w:rPr>
                <w:rFonts w:ascii="Calibri" w:hAnsi="Calibri"/>
                <w:sz w:val="22"/>
              </w:rPr>
            </w:pPr>
            <w:r w:rsidRPr="0024169C">
              <w:rPr>
                <w:rFonts w:ascii="Calibri" w:hAnsi="Calibri"/>
                <w:sz w:val="22"/>
              </w:rPr>
              <w:t>Indo-European</w:t>
            </w:r>
          </w:p>
        </w:tc>
        <w:tc>
          <w:tcPr>
            <w:tcW w:w="1842" w:type="dxa"/>
            <w:tcBorders>
              <w:top w:val="single" w:sz="4" w:space="0" w:color="000000"/>
              <w:left w:val="single" w:sz="4" w:space="0" w:color="000000"/>
              <w:bottom w:val="single" w:sz="4" w:space="0" w:color="000000"/>
              <w:right w:val="single" w:sz="4" w:space="0" w:color="000000"/>
            </w:tcBorders>
          </w:tcPr>
          <w:p w14:paraId="1E3D5B7F" w14:textId="0333ED3B"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singulative</w:t>
            </w:r>
          </w:p>
        </w:tc>
        <w:tc>
          <w:tcPr>
            <w:tcW w:w="2835" w:type="dxa"/>
            <w:tcBorders>
              <w:top w:val="single" w:sz="4" w:space="0" w:color="000000"/>
              <w:left w:val="single" w:sz="4" w:space="0" w:color="000000"/>
              <w:bottom w:val="single" w:sz="4" w:space="0" w:color="000000"/>
              <w:right w:val="single" w:sz="4" w:space="0" w:color="000000"/>
            </w:tcBorders>
          </w:tcPr>
          <w:p w14:paraId="42946F64" w14:textId="051DC719" w:rsidR="00A21A74" w:rsidRPr="0024169C" w:rsidRDefault="00A21A74" w:rsidP="00A21A74">
            <w:pPr>
              <w:pStyle w:val="Tabelleninhalt"/>
              <w:widowControl/>
              <w:suppressAutoHyphens/>
              <w:spacing w:before="0"/>
              <w:jc w:val="left"/>
              <w:rPr>
                <w:rFonts w:ascii="Calibri" w:hAnsi="Calibri"/>
                <w:sz w:val="22"/>
              </w:rPr>
            </w:pPr>
            <w:proofErr w:type="spellStart"/>
            <w:r>
              <w:rPr>
                <w:rFonts w:ascii="Calibri" w:hAnsi="Calibri"/>
                <w:sz w:val="22"/>
              </w:rPr>
              <w:t>OpenSubtitles</w:t>
            </w:r>
            <w:proofErr w:type="spellEnd"/>
            <w:r>
              <w:rPr>
                <w:rFonts w:ascii="Calibri" w:hAnsi="Calibri"/>
                <w:sz w:val="22"/>
              </w:rPr>
              <w:t xml:space="preserve"> 2018</w:t>
            </w:r>
          </w:p>
        </w:tc>
      </w:tr>
      <w:tr w:rsidR="00A21A74" w14:paraId="019732E4"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5F62725F" w14:textId="65E35112" w:rsidR="00A21A74" w:rsidRPr="0024169C" w:rsidRDefault="00A21A74" w:rsidP="00A21A74">
            <w:pPr>
              <w:pStyle w:val="Tabelleninhalt"/>
              <w:widowControl/>
              <w:suppressAutoHyphens/>
              <w:spacing w:before="0"/>
              <w:jc w:val="left"/>
              <w:rPr>
                <w:rStyle w:val="KapitlchenSmallCapital"/>
                <w:rFonts w:ascii="Calibri" w:hAnsi="Calibri"/>
                <w:smallCaps w:val="0"/>
                <w:sz w:val="22"/>
              </w:rPr>
            </w:pPr>
            <w:r>
              <w:rPr>
                <w:rStyle w:val="KapitlchenSmallCapital"/>
                <w:rFonts w:ascii="Calibri" w:hAnsi="Calibri"/>
                <w:smallCaps w:val="0"/>
                <w:sz w:val="22"/>
              </w:rPr>
              <w:t>Bengali</w:t>
            </w:r>
          </w:p>
        </w:tc>
        <w:tc>
          <w:tcPr>
            <w:tcW w:w="1843" w:type="dxa"/>
            <w:tcBorders>
              <w:top w:val="single" w:sz="4" w:space="0" w:color="000000"/>
              <w:left w:val="single" w:sz="4" w:space="0" w:color="000000"/>
              <w:bottom w:val="single" w:sz="4" w:space="0" w:color="000000"/>
              <w:right w:val="single" w:sz="4" w:space="0" w:color="000000"/>
            </w:tcBorders>
          </w:tcPr>
          <w:p w14:paraId="5ECA8A64" w14:textId="5CAA02F8"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Indo-European</w:t>
            </w:r>
          </w:p>
        </w:tc>
        <w:tc>
          <w:tcPr>
            <w:tcW w:w="1842" w:type="dxa"/>
            <w:tcBorders>
              <w:top w:val="single" w:sz="4" w:space="0" w:color="000000"/>
              <w:left w:val="single" w:sz="4" w:space="0" w:color="000000"/>
              <w:bottom w:val="single" w:sz="4" w:space="0" w:color="000000"/>
              <w:right w:val="single" w:sz="4" w:space="0" w:color="000000"/>
            </w:tcBorders>
          </w:tcPr>
          <w:p w14:paraId="1D1E9FCF" w14:textId="43DCAD96" w:rsidR="00A21A74" w:rsidRPr="0024169C" w:rsidRDefault="00A21A74" w:rsidP="00A21A74">
            <w:pPr>
              <w:pStyle w:val="Tabelleninhalt"/>
              <w:widowControl/>
              <w:suppressAutoHyphens/>
              <w:spacing w:before="0"/>
              <w:jc w:val="left"/>
              <w:rPr>
                <w:rFonts w:ascii="Calibri" w:hAnsi="Calibri"/>
                <w:sz w:val="22"/>
              </w:rPr>
            </w:pPr>
            <w:r>
              <w:rPr>
                <w:rFonts w:ascii="Calibri" w:hAnsi="Calibri"/>
                <w:sz w:val="22"/>
              </w:rPr>
              <w:t>general number</w:t>
            </w:r>
          </w:p>
        </w:tc>
        <w:tc>
          <w:tcPr>
            <w:tcW w:w="2835" w:type="dxa"/>
            <w:tcBorders>
              <w:top w:val="single" w:sz="4" w:space="0" w:color="000000"/>
              <w:left w:val="single" w:sz="4" w:space="0" w:color="000000"/>
              <w:bottom w:val="single" w:sz="4" w:space="0" w:color="000000"/>
              <w:right w:val="single" w:sz="4" w:space="0" w:color="000000"/>
            </w:tcBorders>
          </w:tcPr>
          <w:p w14:paraId="1B2BFD0A" w14:textId="2BF9E90A" w:rsidR="00A21A74" w:rsidRPr="0024169C" w:rsidRDefault="00A21A74" w:rsidP="00A21A74">
            <w:pPr>
              <w:pStyle w:val="Tabelleninhalt"/>
              <w:widowControl/>
              <w:suppressAutoHyphens/>
              <w:spacing w:before="0"/>
              <w:jc w:val="left"/>
              <w:rPr>
                <w:rFonts w:ascii="Calibri" w:hAnsi="Calibri"/>
                <w:sz w:val="22"/>
              </w:rPr>
            </w:pPr>
            <w:proofErr w:type="spellStart"/>
            <w:r>
              <w:rPr>
                <w:rFonts w:ascii="Calibri" w:hAnsi="Calibri"/>
                <w:sz w:val="22"/>
              </w:rPr>
              <w:t>bnWaC</w:t>
            </w:r>
            <w:proofErr w:type="spellEnd"/>
          </w:p>
        </w:tc>
      </w:tr>
      <w:tr w:rsidR="00A21A74" w14:paraId="7A33D069"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4B3A81E1" w14:textId="42DE2622" w:rsidR="00A21A74" w:rsidRPr="0024169C" w:rsidRDefault="00CD2972" w:rsidP="00A21A74">
            <w:pPr>
              <w:pStyle w:val="Tabelleninhalt"/>
              <w:widowControl/>
              <w:suppressAutoHyphens/>
              <w:spacing w:before="0"/>
              <w:jc w:val="left"/>
              <w:rPr>
                <w:rStyle w:val="KapitlchenSmallCapital"/>
                <w:rFonts w:ascii="Calibri" w:hAnsi="Calibri"/>
                <w:smallCaps w:val="0"/>
                <w:sz w:val="22"/>
              </w:rPr>
            </w:pPr>
            <w:r>
              <w:rPr>
                <w:rStyle w:val="KapitlchenSmallCapital"/>
                <w:rFonts w:ascii="Calibri" w:hAnsi="Calibri"/>
                <w:smallCaps w:val="0"/>
                <w:sz w:val="22"/>
              </w:rPr>
              <w:t>Indonesian</w:t>
            </w:r>
          </w:p>
        </w:tc>
        <w:tc>
          <w:tcPr>
            <w:tcW w:w="1843" w:type="dxa"/>
            <w:tcBorders>
              <w:top w:val="single" w:sz="4" w:space="0" w:color="000000"/>
              <w:left w:val="single" w:sz="4" w:space="0" w:color="000000"/>
              <w:bottom w:val="single" w:sz="4" w:space="0" w:color="000000"/>
              <w:right w:val="single" w:sz="4" w:space="0" w:color="000000"/>
            </w:tcBorders>
          </w:tcPr>
          <w:p w14:paraId="1E957CBE" w14:textId="5C52D0F8" w:rsidR="00A21A74" w:rsidRPr="0024169C" w:rsidRDefault="00CD2972" w:rsidP="00A21A74">
            <w:pPr>
              <w:pStyle w:val="Tabelleninhalt"/>
              <w:widowControl/>
              <w:suppressAutoHyphens/>
              <w:spacing w:before="0"/>
              <w:jc w:val="left"/>
              <w:rPr>
                <w:rFonts w:ascii="Calibri" w:hAnsi="Calibri"/>
                <w:sz w:val="22"/>
              </w:rPr>
            </w:pPr>
            <w:r>
              <w:rPr>
                <w:rFonts w:ascii="Calibri" w:hAnsi="Calibri"/>
                <w:sz w:val="22"/>
              </w:rPr>
              <w:t>Austronesian</w:t>
            </w:r>
          </w:p>
        </w:tc>
        <w:tc>
          <w:tcPr>
            <w:tcW w:w="1842" w:type="dxa"/>
            <w:tcBorders>
              <w:top w:val="single" w:sz="4" w:space="0" w:color="000000"/>
              <w:left w:val="single" w:sz="4" w:space="0" w:color="000000"/>
              <w:bottom w:val="single" w:sz="4" w:space="0" w:color="000000"/>
              <w:right w:val="single" w:sz="4" w:space="0" w:color="000000"/>
            </w:tcBorders>
          </w:tcPr>
          <w:p w14:paraId="147B02D8" w14:textId="088CC852" w:rsidR="00A21A74" w:rsidRPr="0024169C" w:rsidRDefault="00812D4A" w:rsidP="00A21A74">
            <w:pPr>
              <w:pStyle w:val="Tabelleninhalt"/>
              <w:widowControl/>
              <w:suppressAutoHyphens/>
              <w:spacing w:before="0"/>
              <w:jc w:val="left"/>
              <w:rPr>
                <w:rFonts w:ascii="Calibri" w:hAnsi="Calibri"/>
                <w:sz w:val="22"/>
              </w:rPr>
            </w:pPr>
            <w:r>
              <w:rPr>
                <w:rFonts w:ascii="Calibri" w:hAnsi="Calibri"/>
                <w:sz w:val="22"/>
              </w:rPr>
              <w:t>g</w:t>
            </w:r>
            <w:r w:rsidR="00CD2972">
              <w:rPr>
                <w:rFonts w:ascii="Calibri" w:hAnsi="Calibri"/>
                <w:sz w:val="22"/>
              </w:rPr>
              <w:t>eneral number</w:t>
            </w:r>
          </w:p>
        </w:tc>
        <w:tc>
          <w:tcPr>
            <w:tcW w:w="2835" w:type="dxa"/>
            <w:tcBorders>
              <w:top w:val="single" w:sz="4" w:space="0" w:color="000000"/>
              <w:left w:val="single" w:sz="4" w:space="0" w:color="000000"/>
              <w:bottom w:val="single" w:sz="4" w:space="0" w:color="000000"/>
              <w:right w:val="single" w:sz="4" w:space="0" w:color="000000"/>
            </w:tcBorders>
          </w:tcPr>
          <w:p w14:paraId="67DF3CFE" w14:textId="0F1CC742" w:rsidR="00A21A74" w:rsidRPr="0024169C" w:rsidRDefault="00CD2972" w:rsidP="00A21A74">
            <w:pPr>
              <w:pStyle w:val="Tabelleninhalt"/>
              <w:widowControl/>
              <w:suppressAutoHyphens/>
              <w:spacing w:before="0"/>
              <w:jc w:val="left"/>
              <w:rPr>
                <w:rFonts w:ascii="Calibri" w:hAnsi="Calibri"/>
                <w:sz w:val="22"/>
              </w:rPr>
            </w:pPr>
            <w:r>
              <w:rPr>
                <w:rFonts w:ascii="Calibri" w:hAnsi="Calibri"/>
                <w:sz w:val="22"/>
              </w:rPr>
              <w:t>tufs_web_2012</w:t>
            </w:r>
          </w:p>
        </w:tc>
      </w:tr>
      <w:tr w:rsidR="00CD2972" w14:paraId="3BC56BB3"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41BF5BC8" w14:textId="700E3518" w:rsidR="00CD2972" w:rsidRPr="0024169C" w:rsidRDefault="00CD2972" w:rsidP="00CD2972">
            <w:pPr>
              <w:pStyle w:val="Tabelleninhalt"/>
              <w:widowControl/>
              <w:suppressAutoHyphens/>
              <w:spacing w:before="0"/>
              <w:jc w:val="left"/>
              <w:rPr>
                <w:rStyle w:val="KapitlchenSmallCapital"/>
                <w:rFonts w:ascii="Calibri" w:hAnsi="Calibri"/>
                <w:smallCaps w:val="0"/>
                <w:sz w:val="22"/>
              </w:rPr>
            </w:pPr>
            <w:r w:rsidRPr="0024169C">
              <w:rPr>
                <w:rFonts w:ascii="Calibri" w:hAnsi="Calibri"/>
                <w:sz w:val="22"/>
              </w:rPr>
              <w:t>Japanese</w:t>
            </w:r>
          </w:p>
        </w:tc>
        <w:tc>
          <w:tcPr>
            <w:tcW w:w="1843" w:type="dxa"/>
            <w:tcBorders>
              <w:top w:val="single" w:sz="4" w:space="0" w:color="000000"/>
              <w:left w:val="single" w:sz="4" w:space="0" w:color="000000"/>
              <w:bottom w:val="single" w:sz="4" w:space="0" w:color="000000"/>
              <w:right w:val="single" w:sz="4" w:space="0" w:color="000000"/>
            </w:tcBorders>
          </w:tcPr>
          <w:p w14:paraId="6530E637" w14:textId="6C17C64A" w:rsidR="00CD2972" w:rsidRPr="0024169C" w:rsidRDefault="00CD2972" w:rsidP="00CD2972">
            <w:pPr>
              <w:pStyle w:val="Tabelleninhalt"/>
              <w:widowControl/>
              <w:suppressAutoHyphens/>
              <w:spacing w:before="0"/>
              <w:jc w:val="left"/>
              <w:rPr>
                <w:rFonts w:ascii="Calibri" w:hAnsi="Calibri"/>
                <w:sz w:val="22"/>
              </w:rPr>
            </w:pPr>
            <w:proofErr w:type="spellStart"/>
            <w:r w:rsidRPr="0024169C">
              <w:rPr>
                <w:rStyle w:val="IntenseEmphasis"/>
                <w:rFonts w:ascii="Calibri" w:hAnsi="Calibri"/>
                <w:b w:val="0"/>
                <w:bCs w:val="0"/>
                <w:i w:val="0"/>
                <w:iCs w:val="0"/>
                <w:sz w:val="22"/>
              </w:rPr>
              <w:t>Japonic</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113E30E5" w14:textId="671EE65D" w:rsidR="00CD2972" w:rsidRPr="0024169C" w:rsidRDefault="00CD2972" w:rsidP="00CD2972">
            <w:pPr>
              <w:pStyle w:val="Tabelleninhalt"/>
              <w:widowControl/>
              <w:suppressAutoHyphens/>
              <w:spacing w:before="0"/>
              <w:jc w:val="left"/>
              <w:rPr>
                <w:rFonts w:ascii="Calibri" w:hAnsi="Calibri"/>
                <w:sz w:val="22"/>
              </w:rPr>
            </w:pPr>
            <w:r>
              <w:rPr>
                <w:rStyle w:val="Emphasis"/>
                <w:rFonts w:ascii="Calibri" w:hAnsi="Calibri"/>
                <w:i w:val="0"/>
                <w:iCs w:val="0"/>
                <w:sz w:val="22"/>
              </w:rPr>
              <w:t>general number</w:t>
            </w:r>
          </w:p>
        </w:tc>
        <w:tc>
          <w:tcPr>
            <w:tcW w:w="2835" w:type="dxa"/>
            <w:tcBorders>
              <w:top w:val="single" w:sz="4" w:space="0" w:color="000000"/>
              <w:left w:val="single" w:sz="4" w:space="0" w:color="000000"/>
              <w:bottom w:val="single" w:sz="4" w:space="0" w:color="000000"/>
              <w:right w:val="single" w:sz="4" w:space="0" w:color="000000"/>
            </w:tcBorders>
          </w:tcPr>
          <w:p w14:paraId="1FFCAEAA" w14:textId="277863C4" w:rsidR="00CD2972" w:rsidRPr="0024169C" w:rsidRDefault="00CD2972" w:rsidP="00CD2972">
            <w:pPr>
              <w:pStyle w:val="Tabelleninhalt"/>
              <w:widowControl/>
              <w:suppressAutoHyphens/>
              <w:spacing w:before="0"/>
              <w:jc w:val="left"/>
              <w:rPr>
                <w:rFonts w:ascii="Calibri" w:hAnsi="Calibri"/>
                <w:sz w:val="22"/>
              </w:rPr>
            </w:pPr>
            <w:r w:rsidRPr="0024169C">
              <w:rPr>
                <w:rStyle w:val="Emphasis"/>
                <w:rFonts w:ascii="Calibri" w:hAnsi="Calibri"/>
                <w:i w:val="0"/>
                <w:iCs w:val="0"/>
                <w:sz w:val="22"/>
              </w:rPr>
              <w:t>BCCWJ</w:t>
            </w:r>
          </w:p>
        </w:tc>
      </w:tr>
      <w:tr w:rsidR="00CD2972" w14:paraId="1DD54285"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7CB99173" w14:textId="509811D8" w:rsidR="00CD2972" w:rsidRPr="0024169C" w:rsidRDefault="00CD2972" w:rsidP="00CD2972">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Korean</w:t>
            </w:r>
          </w:p>
        </w:tc>
        <w:tc>
          <w:tcPr>
            <w:tcW w:w="1843" w:type="dxa"/>
            <w:tcBorders>
              <w:top w:val="single" w:sz="4" w:space="0" w:color="000000"/>
              <w:left w:val="single" w:sz="4" w:space="0" w:color="000000"/>
              <w:bottom w:val="single" w:sz="4" w:space="0" w:color="000000"/>
              <w:right w:val="single" w:sz="4" w:space="0" w:color="000000"/>
            </w:tcBorders>
          </w:tcPr>
          <w:p w14:paraId="760DE262" w14:textId="74F17BC9" w:rsidR="00CD2972" w:rsidRPr="0024169C" w:rsidRDefault="00CD2972" w:rsidP="00CD2972">
            <w:pPr>
              <w:pStyle w:val="Tabelleninhalt"/>
              <w:widowControl/>
              <w:suppressAutoHyphens/>
              <w:spacing w:before="0"/>
              <w:jc w:val="left"/>
              <w:rPr>
                <w:rFonts w:ascii="Calibri" w:hAnsi="Calibri"/>
                <w:sz w:val="22"/>
              </w:rPr>
            </w:pPr>
            <w:proofErr w:type="spellStart"/>
            <w:r w:rsidRPr="0024169C">
              <w:rPr>
                <w:rFonts w:ascii="Calibri" w:hAnsi="Calibri"/>
                <w:sz w:val="22"/>
              </w:rPr>
              <w:t>Koreanic</w:t>
            </w:r>
            <w:proofErr w:type="spellEnd"/>
          </w:p>
        </w:tc>
        <w:tc>
          <w:tcPr>
            <w:tcW w:w="1842" w:type="dxa"/>
            <w:tcBorders>
              <w:top w:val="single" w:sz="4" w:space="0" w:color="000000"/>
              <w:left w:val="single" w:sz="4" w:space="0" w:color="000000"/>
              <w:bottom w:val="single" w:sz="4" w:space="0" w:color="000000"/>
              <w:right w:val="single" w:sz="4" w:space="0" w:color="000000"/>
            </w:tcBorders>
          </w:tcPr>
          <w:p w14:paraId="3B0ABF4A" w14:textId="6F26B292" w:rsidR="00CD2972" w:rsidRPr="0024169C" w:rsidRDefault="00CD2972" w:rsidP="00CD2972">
            <w:pPr>
              <w:pStyle w:val="Tabelleninhalt"/>
              <w:widowControl/>
              <w:suppressAutoHyphens/>
              <w:spacing w:before="0"/>
              <w:jc w:val="left"/>
              <w:rPr>
                <w:rFonts w:ascii="Calibri" w:hAnsi="Calibri"/>
                <w:sz w:val="22"/>
              </w:rPr>
            </w:pPr>
            <w:r>
              <w:rPr>
                <w:rFonts w:ascii="Calibri" w:hAnsi="Calibri"/>
                <w:sz w:val="22"/>
              </w:rPr>
              <w:t>general number</w:t>
            </w:r>
          </w:p>
        </w:tc>
        <w:tc>
          <w:tcPr>
            <w:tcW w:w="2835" w:type="dxa"/>
            <w:tcBorders>
              <w:top w:val="single" w:sz="4" w:space="0" w:color="000000"/>
              <w:left w:val="single" w:sz="4" w:space="0" w:color="000000"/>
              <w:bottom w:val="single" w:sz="4" w:space="0" w:color="000000"/>
              <w:right w:val="single" w:sz="4" w:space="0" w:color="000000"/>
            </w:tcBorders>
          </w:tcPr>
          <w:p w14:paraId="0DB2C250" w14:textId="3A9D8240"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koTenTen18</w:t>
            </w:r>
          </w:p>
        </w:tc>
      </w:tr>
      <w:tr w:rsidR="00CD2972" w14:paraId="7B68D5E0"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469B45B5" w14:textId="479AAACA" w:rsidR="00CD2972" w:rsidRPr="0024169C" w:rsidRDefault="00CD2972" w:rsidP="00CD2972">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Tagalog</w:t>
            </w:r>
          </w:p>
        </w:tc>
        <w:tc>
          <w:tcPr>
            <w:tcW w:w="1843" w:type="dxa"/>
            <w:tcBorders>
              <w:top w:val="single" w:sz="4" w:space="0" w:color="000000"/>
              <w:left w:val="single" w:sz="4" w:space="0" w:color="000000"/>
              <w:bottom w:val="single" w:sz="4" w:space="0" w:color="000000"/>
              <w:right w:val="single" w:sz="4" w:space="0" w:color="000000"/>
            </w:tcBorders>
          </w:tcPr>
          <w:p w14:paraId="4DCE00B4" w14:textId="1396E38C"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Austronesian</w:t>
            </w:r>
          </w:p>
        </w:tc>
        <w:tc>
          <w:tcPr>
            <w:tcW w:w="1842" w:type="dxa"/>
            <w:tcBorders>
              <w:top w:val="single" w:sz="4" w:space="0" w:color="000000"/>
              <w:left w:val="single" w:sz="4" w:space="0" w:color="000000"/>
              <w:bottom w:val="single" w:sz="4" w:space="0" w:color="000000"/>
              <w:right w:val="single" w:sz="4" w:space="0" w:color="000000"/>
            </w:tcBorders>
          </w:tcPr>
          <w:p w14:paraId="72FDCBF5" w14:textId="1EA4355F" w:rsidR="00CD2972" w:rsidRPr="0024169C" w:rsidRDefault="00CD2972" w:rsidP="00CD2972">
            <w:pPr>
              <w:pStyle w:val="Tabelleninhalt"/>
              <w:widowControl/>
              <w:suppressAutoHyphens/>
              <w:spacing w:before="0"/>
              <w:jc w:val="left"/>
              <w:rPr>
                <w:rFonts w:ascii="Calibri" w:hAnsi="Calibri"/>
                <w:sz w:val="22"/>
              </w:rPr>
            </w:pPr>
            <w:r>
              <w:rPr>
                <w:rFonts w:ascii="Calibri" w:hAnsi="Calibri"/>
                <w:sz w:val="22"/>
              </w:rPr>
              <w:t>general number</w:t>
            </w:r>
          </w:p>
        </w:tc>
        <w:tc>
          <w:tcPr>
            <w:tcW w:w="2835" w:type="dxa"/>
            <w:tcBorders>
              <w:top w:val="single" w:sz="4" w:space="0" w:color="000000"/>
              <w:left w:val="single" w:sz="4" w:space="0" w:color="000000"/>
              <w:bottom w:val="single" w:sz="4" w:space="0" w:color="000000"/>
              <w:right w:val="single" w:sz="4" w:space="0" w:color="000000"/>
            </w:tcBorders>
          </w:tcPr>
          <w:p w14:paraId="0D867CA7" w14:textId="1CA04A3E"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tlTenTen19</w:t>
            </w:r>
          </w:p>
        </w:tc>
      </w:tr>
      <w:tr w:rsidR="00CD2972" w14:paraId="2498B463"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0F013A4E" w14:textId="4C4CE000" w:rsidR="00CD2972" w:rsidRPr="0024169C" w:rsidRDefault="00CD2972" w:rsidP="00CD2972">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Turkish</w:t>
            </w:r>
          </w:p>
        </w:tc>
        <w:tc>
          <w:tcPr>
            <w:tcW w:w="1843" w:type="dxa"/>
            <w:tcBorders>
              <w:top w:val="single" w:sz="4" w:space="0" w:color="000000"/>
              <w:left w:val="single" w:sz="4" w:space="0" w:color="000000"/>
              <w:bottom w:val="single" w:sz="4" w:space="0" w:color="000000"/>
              <w:right w:val="single" w:sz="4" w:space="0" w:color="000000"/>
            </w:tcBorders>
          </w:tcPr>
          <w:p w14:paraId="3D266E52" w14:textId="3C3A31AC"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Turkic</w:t>
            </w:r>
          </w:p>
        </w:tc>
        <w:tc>
          <w:tcPr>
            <w:tcW w:w="1842" w:type="dxa"/>
            <w:tcBorders>
              <w:top w:val="single" w:sz="4" w:space="0" w:color="000000"/>
              <w:left w:val="single" w:sz="4" w:space="0" w:color="000000"/>
              <w:bottom w:val="single" w:sz="4" w:space="0" w:color="000000"/>
              <w:right w:val="single" w:sz="4" w:space="0" w:color="000000"/>
            </w:tcBorders>
          </w:tcPr>
          <w:p w14:paraId="06630B2C" w14:textId="1F906CE0" w:rsidR="00CD2972" w:rsidRDefault="00CD2972" w:rsidP="00CD2972">
            <w:pPr>
              <w:pStyle w:val="Tabelleninhalt"/>
              <w:widowControl/>
              <w:suppressAutoHyphens/>
              <w:spacing w:before="0"/>
              <w:jc w:val="left"/>
              <w:rPr>
                <w:rFonts w:ascii="Calibri" w:hAnsi="Calibri"/>
                <w:sz w:val="22"/>
              </w:rPr>
            </w:pPr>
            <w:r>
              <w:rPr>
                <w:rFonts w:ascii="Calibri" w:hAnsi="Calibri"/>
                <w:sz w:val="22"/>
              </w:rPr>
              <w:t>general number</w:t>
            </w:r>
          </w:p>
        </w:tc>
        <w:tc>
          <w:tcPr>
            <w:tcW w:w="2835" w:type="dxa"/>
            <w:tcBorders>
              <w:top w:val="single" w:sz="4" w:space="0" w:color="000000"/>
              <w:left w:val="single" w:sz="4" w:space="0" w:color="000000"/>
              <w:bottom w:val="single" w:sz="4" w:space="0" w:color="000000"/>
              <w:right w:val="single" w:sz="4" w:space="0" w:color="000000"/>
            </w:tcBorders>
          </w:tcPr>
          <w:p w14:paraId="20B0401F" w14:textId="02AD9B9B"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trTenTen12</w:t>
            </w:r>
          </w:p>
        </w:tc>
      </w:tr>
      <w:tr w:rsidR="00CD2972" w14:paraId="435A19F6" w14:textId="77777777" w:rsidTr="003E0BC1">
        <w:tc>
          <w:tcPr>
            <w:tcW w:w="1429" w:type="dxa"/>
            <w:tcBorders>
              <w:top w:val="single" w:sz="4" w:space="0" w:color="000000"/>
              <w:left w:val="single" w:sz="4" w:space="0" w:color="000000"/>
              <w:bottom w:val="single" w:sz="4" w:space="0" w:color="000000"/>
              <w:right w:val="single" w:sz="4" w:space="0" w:color="000000"/>
            </w:tcBorders>
          </w:tcPr>
          <w:p w14:paraId="3FD8C834" w14:textId="59372EB2" w:rsidR="00CD2972" w:rsidRPr="0024169C" w:rsidRDefault="00CD2972" w:rsidP="00CD2972">
            <w:pPr>
              <w:pStyle w:val="Tabelleninhalt"/>
              <w:widowControl/>
              <w:suppressAutoHyphens/>
              <w:spacing w:before="0"/>
              <w:jc w:val="left"/>
              <w:rPr>
                <w:rStyle w:val="KapitlchenSmallCapital"/>
                <w:rFonts w:ascii="Calibri" w:hAnsi="Calibri"/>
                <w:smallCaps w:val="0"/>
                <w:sz w:val="22"/>
              </w:rPr>
            </w:pPr>
            <w:r w:rsidRPr="0024169C">
              <w:rPr>
                <w:rStyle w:val="KapitlchenSmallCapital"/>
                <w:rFonts w:ascii="Calibri" w:hAnsi="Calibri"/>
                <w:smallCaps w:val="0"/>
                <w:sz w:val="22"/>
              </w:rPr>
              <w:t>Quechua</w:t>
            </w:r>
          </w:p>
        </w:tc>
        <w:tc>
          <w:tcPr>
            <w:tcW w:w="1843" w:type="dxa"/>
            <w:tcBorders>
              <w:top w:val="single" w:sz="4" w:space="0" w:color="000000"/>
              <w:left w:val="single" w:sz="4" w:space="0" w:color="000000"/>
              <w:bottom w:val="single" w:sz="4" w:space="0" w:color="000000"/>
              <w:right w:val="single" w:sz="4" w:space="0" w:color="000000"/>
            </w:tcBorders>
          </w:tcPr>
          <w:p w14:paraId="7A853D84" w14:textId="35075502"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Quechuan</w:t>
            </w:r>
          </w:p>
        </w:tc>
        <w:tc>
          <w:tcPr>
            <w:tcW w:w="1842" w:type="dxa"/>
            <w:tcBorders>
              <w:top w:val="single" w:sz="4" w:space="0" w:color="000000"/>
              <w:left w:val="single" w:sz="4" w:space="0" w:color="000000"/>
              <w:bottom w:val="single" w:sz="4" w:space="0" w:color="000000"/>
              <w:right w:val="single" w:sz="4" w:space="0" w:color="000000"/>
            </w:tcBorders>
          </w:tcPr>
          <w:p w14:paraId="6495EDDB" w14:textId="7554FF3F" w:rsidR="00CD2972" w:rsidRDefault="00CD2972" w:rsidP="00CD2972">
            <w:pPr>
              <w:pStyle w:val="Tabelleninhalt"/>
              <w:widowControl/>
              <w:suppressAutoHyphens/>
              <w:spacing w:before="0"/>
              <w:jc w:val="left"/>
              <w:rPr>
                <w:rFonts w:ascii="Calibri" w:hAnsi="Calibri"/>
                <w:sz w:val="22"/>
              </w:rPr>
            </w:pPr>
            <w:r>
              <w:rPr>
                <w:rFonts w:ascii="Calibri" w:hAnsi="Calibri"/>
                <w:sz w:val="22"/>
              </w:rPr>
              <w:t>general number</w:t>
            </w:r>
          </w:p>
        </w:tc>
        <w:tc>
          <w:tcPr>
            <w:tcW w:w="2835" w:type="dxa"/>
            <w:tcBorders>
              <w:top w:val="single" w:sz="4" w:space="0" w:color="000000"/>
              <w:left w:val="single" w:sz="4" w:space="0" w:color="000000"/>
              <w:bottom w:val="single" w:sz="4" w:space="0" w:color="000000"/>
              <w:right w:val="single" w:sz="4" w:space="0" w:color="000000"/>
            </w:tcBorders>
          </w:tcPr>
          <w:p w14:paraId="66D2E2F7" w14:textId="58D105B4" w:rsidR="00CD2972" w:rsidRPr="0024169C" w:rsidRDefault="00CD2972" w:rsidP="00CD2972">
            <w:pPr>
              <w:pStyle w:val="Tabelleninhalt"/>
              <w:widowControl/>
              <w:suppressAutoHyphens/>
              <w:spacing w:before="0"/>
              <w:jc w:val="left"/>
              <w:rPr>
                <w:rFonts w:ascii="Calibri" w:hAnsi="Calibri"/>
                <w:sz w:val="22"/>
              </w:rPr>
            </w:pPr>
            <w:r w:rsidRPr="0024169C">
              <w:rPr>
                <w:rFonts w:ascii="Calibri" w:hAnsi="Calibri"/>
                <w:sz w:val="22"/>
              </w:rPr>
              <w:t>Wikipedia</w:t>
            </w:r>
          </w:p>
        </w:tc>
      </w:tr>
    </w:tbl>
    <w:p w14:paraId="499CEC54" w14:textId="2E0FB614" w:rsidR="0024169C" w:rsidRDefault="0024169C" w:rsidP="0024169C">
      <w:pPr>
        <w:pStyle w:val="Caption"/>
      </w:pPr>
      <w:r>
        <w:t xml:space="preserve">Table 1: </w:t>
      </w:r>
      <w:r w:rsidR="00D87491">
        <w:t xml:space="preserve">Samples of languages </w:t>
      </w:r>
      <w:r w:rsidR="00A000EB">
        <w:t>analysed</w:t>
      </w:r>
      <w:r w:rsidR="00A21A74">
        <w:t xml:space="preserve"> in this </w:t>
      </w:r>
      <w:proofErr w:type="gramStart"/>
      <w:r w:rsidR="00A21A74">
        <w:t>study</w:t>
      </w:r>
      <w:proofErr w:type="gramEnd"/>
    </w:p>
    <w:p w14:paraId="3F7F790C" w14:textId="7864F6D1" w:rsidR="009B4502" w:rsidRDefault="0024169C" w:rsidP="009B4502">
      <w:pPr>
        <w:pStyle w:val="Heading1"/>
      </w:pPr>
      <w:r w:rsidRPr="003E0BC1">
        <w:t>Coding and annotation</w:t>
      </w:r>
    </w:p>
    <w:p w14:paraId="3B36D383" w14:textId="0D80F862" w:rsidR="0091663A" w:rsidRDefault="0024169C" w:rsidP="0024169C">
      <w:r>
        <w:t>For number-marking languages, we counted the number of basic and derived (i.e., plura</w:t>
      </w:r>
      <w:r w:rsidR="003E161C">
        <w:t>tive</w:t>
      </w:r>
      <w:r>
        <w:t xml:space="preserve"> or singulative) forms of nouns. For general number languages, we took 40 random samples of each noun from the corpus and manually annotated the counts of semantically uniplex and multiplex nouns.</w:t>
      </w:r>
    </w:p>
    <w:p w14:paraId="3B5F2818" w14:textId="4F2B8154" w:rsidR="00097D86" w:rsidRDefault="0024169C" w:rsidP="00097D86">
      <w:r>
        <w:t xml:space="preserve">To capture the difference between the counts, an “asymmetry index” with a range of −1…1 was used, where negative values indicate dominant uniplex usage, and positive values dominant multiplex usage </w:t>
      </w:r>
      <w:r w:rsidR="00081FFB">
        <w:fldChar w:fldCharType="begin"/>
      </w:r>
      <w:r w:rsidR="00081FFB">
        <w:instrText xml:space="preserve"> ADDIN ZOTERO_ITEM CSL_CITATION {"citationID":"NkUeLvb7","properties":{"formattedCitation":"(Haspelmath/Karjus 2017: 1225)","plainCitation":"(Haspelmath/Karjus 2017: 1225)","noteIndex":0},"citationItems":[{"id":1732,"uris":["http://zotero.org/users/3655733/items/UR833STY"],"itemData":{"id":1732,"type":"article-journal","abstract":"This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marking","volume":"55","author":[{"family":"Haspelmath","given":"Martin"},{"family":"Karjus","given":"Andres"}],"issued":{"date-parts":[["2017",1,27]]}},"label":"page","suffix":": 1225"}],"schema":"https://github.com/citation-style-language/schema/raw/master/csl-citation.json"} </w:instrText>
      </w:r>
      <w:r w:rsidR="00081FFB">
        <w:fldChar w:fldCharType="separate"/>
      </w:r>
      <w:r w:rsidR="00081FFB">
        <w:rPr>
          <w:noProof/>
        </w:rPr>
        <w:t>(Haspelmath/Karjus 2017: 1225)</w:t>
      </w:r>
      <w:r w:rsidR="00081FFB">
        <w:fldChar w:fldCharType="end"/>
      </w:r>
      <w:r>
        <w:t>.</w:t>
      </w:r>
    </w:p>
    <w:p w14:paraId="2A7125C5" w14:textId="0247D199" w:rsidR="009B4502" w:rsidRDefault="00097D86" w:rsidP="009B4502">
      <w:pPr>
        <w:pStyle w:val="Heading1"/>
      </w:pPr>
      <w:r w:rsidRPr="003E0BC1">
        <w:lastRenderedPageBreak/>
        <w:t>Results</w:t>
      </w:r>
    </w:p>
    <w:p w14:paraId="421DE962" w14:textId="35352E75" w:rsidR="002E7AA5" w:rsidRDefault="009B4502" w:rsidP="00097D86">
      <w:r>
        <w:rPr>
          <w:noProof/>
          <w:lang w:val="de-DE" w:eastAsia="de-DE"/>
        </w:rPr>
        <w:drawing>
          <wp:anchor distT="0" distB="71755" distL="114300" distR="114300" simplePos="0" relativeHeight="251659264" behindDoc="0" locked="0" layoutInCell="0" allowOverlap="1" wp14:anchorId="2AB84A8D" wp14:editId="2E5CF5F4">
            <wp:simplePos x="0" y="0"/>
            <wp:positionH relativeFrom="margin">
              <wp:posOffset>536575</wp:posOffset>
            </wp:positionH>
            <wp:positionV relativeFrom="paragraph">
              <wp:posOffset>646275</wp:posOffset>
            </wp:positionV>
            <wp:extent cx="4150995" cy="2594610"/>
            <wp:effectExtent l="12700" t="12700" r="14605" b="8890"/>
            <wp:wrapTopAndBottom/>
            <wp:docPr id="1" name="Grafik 3" descr="A picture containing text, number,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A picture containing text, number, plot, li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150995" cy="2594610"/>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r w:rsidR="00097D86">
        <w:t>T</w:t>
      </w:r>
      <w:r w:rsidR="00097D86" w:rsidRPr="002522CF">
        <w:t>he preliminary findings of our study</w:t>
      </w:r>
      <w:r w:rsidR="00097D86">
        <w:t xml:space="preserve"> are presented </w:t>
      </w:r>
      <w:r w:rsidR="00097D86" w:rsidRPr="007954C7">
        <w:t>in Figures 1 and 2</w:t>
      </w:r>
      <w:r w:rsidR="009137D8">
        <w:t xml:space="preserve">, where </w:t>
      </w:r>
      <w:r w:rsidR="009137D8" w:rsidRPr="009137D8">
        <w:t>‘R’ marks the random lexemes</w:t>
      </w:r>
      <w:r w:rsidR="00097D86" w:rsidRPr="007954C7">
        <w:t>.</w:t>
      </w:r>
      <w:r w:rsidR="00097D86">
        <w:t xml:space="preserve"> </w:t>
      </w:r>
      <w:r w:rsidR="002E7AA5" w:rsidRPr="002E7AA5">
        <w:t>Note that Figures 1 and 2 are tentative and subject to further analysis and validation.</w:t>
      </w:r>
    </w:p>
    <w:p w14:paraId="5A83400D" w14:textId="544403F6" w:rsidR="009137D8" w:rsidRDefault="009B4502" w:rsidP="009137D8">
      <w:pPr>
        <w:pStyle w:val="Caption"/>
      </w:pPr>
      <w:r>
        <w:rPr>
          <w:noProof/>
          <w:lang w:val="de-DE" w:eastAsia="de-DE"/>
        </w:rPr>
        <w:drawing>
          <wp:anchor distT="0" distB="71755" distL="114300" distR="114300" simplePos="0" relativeHeight="251661312" behindDoc="0" locked="0" layoutInCell="0" allowOverlap="1" wp14:anchorId="5CE91603" wp14:editId="72FD8683">
            <wp:simplePos x="0" y="0"/>
            <wp:positionH relativeFrom="margin">
              <wp:posOffset>537571</wp:posOffset>
            </wp:positionH>
            <wp:positionV relativeFrom="paragraph">
              <wp:posOffset>3098165</wp:posOffset>
            </wp:positionV>
            <wp:extent cx="4150995" cy="2594610"/>
            <wp:effectExtent l="12700" t="12700" r="14605" b="8890"/>
            <wp:wrapTopAndBottom/>
            <wp:docPr id="1814861183" name="Picture 1814861183" descr="A picture containing text, number,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61183" name="Picture 1814861183" descr="A picture containing text, number, screenshot, plo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50995" cy="2594610"/>
                    </a:xfrm>
                    <a:prstGeom prst="rect">
                      <a:avLst/>
                    </a:prstGeom>
                    <a:ln w="6350">
                      <a:solidFill>
                        <a:srgbClr val="000000"/>
                      </a:solidFill>
                    </a:ln>
                  </pic:spPr>
                </pic:pic>
              </a:graphicData>
            </a:graphic>
            <wp14:sizeRelH relativeFrom="margin">
              <wp14:pctWidth>0</wp14:pctWidth>
            </wp14:sizeRelH>
            <wp14:sizeRelV relativeFrom="margin">
              <wp14:pctHeight>0</wp14:pctHeight>
            </wp14:sizeRelV>
          </wp:anchor>
        </w:drawing>
      </w:r>
      <w:r w:rsidR="009137D8">
        <w:t xml:space="preserve">Fig. 1: </w:t>
      </w:r>
      <w:r w:rsidR="009137D8" w:rsidRPr="00097D86">
        <w:t>The asymmetry index in number-marking languages</w:t>
      </w:r>
    </w:p>
    <w:p w14:paraId="783D2609" w14:textId="244B6846" w:rsidR="009137D8" w:rsidRDefault="009137D8" w:rsidP="009137D8">
      <w:pPr>
        <w:pStyle w:val="Caption"/>
      </w:pPr>
      <w:r>
        <w:t xml:space="preserve">Fig. 2: </w:t>
      </w:r>
      <w:r w:rsidRPr="00097D86">
        <w:t>The asymmetry index in general number languages</w:t>
      </w:r>
    </w:p>
    <w:p w14:paraId="0F4115CA" w14:textId="121E35D7" w:rsidR="009B4502" w:rsidRDefault="009B4502" w:rsidP="009B4502">
      <w:r>
        <w:t xml:space="preserve">Figure 1 shows that, in the number-marking languages we examined (Hindi, Spanish, and Swedish), </w:t>
      </w:r>
      <w:r w:rsidR="001072D8">
        <w:t>most</w:t>
      </w:r>
      <w:r>
        <w:t xml:space="preserve"> </w:t>
      </w:r>
      <w:r w:rsidR="002F3C0A">
        <w:t>singulative</w:t>
      </w:r>
      <w:r>
        <w:t>-prominent lexemes tend to be more frequent in plura</w:t>
      </w:r>
      <w:r w:rsidR="008F2F0D">
        <w:t>tive forms</w:t>
      </w:r>
      <w:r>
        <w:t xml:space="preserve"> than in </w:t>
      </w:r>
      <w:r w:rsidR="008F2F0D">
        <w:t>basic forms</w:t>
      </w:r>
      <w:r>
        <w:t xml:space="preserve">, compared to randomly sampled nouns. It also indicates that, in Sinhala, the </w:t>
      </w:r>
      <w:r w:rsidR="00870349">
        <w:t>singulative-prominent</w:t>
      </w:r>
      <w:r>
        <w:t xml:space="preserve"> lexemes tend to appear </w:t>
      </w:r>
      <w:r w:rsidR="00E37B2C">
        <w:t xml:space="preserve">more frequently </w:t>
      </w:r>
      <w:r>
        <w:t>in basic</w:t>
      </w:r>
      <w:r w:rsidR="008F2F0D">
        <w:t xml:space="preserve"> forms</w:t>
      </w:r>
      <w:r>
        <w:t xml:space="preserve"> than in singulative</w:t>
      </w:r>
      <w:r w:rsidR="008F2F0D">
        <w:t xml:space="preserve"> forms</w:t>
      </w:r>
      <w:r>
        <w:t>, compared to randomly sampled nouns.</w:t>
      </w:r>
    </w:p>
    <w:p w14:paraId="4EED9EA7" w14:textId="6BFDEF62" w:rsidR="009B4502" w:rsidRDefault="009B4502" w:rsidP="009B4502">
      <w:r>
        <w:lastRenderedPageBreak/>
        <w:t>Figure 2 summari</w:t>
      </w:r>
      <w:r w:rsidR="008F2F0D">
        <w:t>s</w:t>
      </w:r>
      <w:r>
        <w:t xml:space="preserve">es the results of the general number languages we examined (Japanese, Korean, Tagalog, Turkish, and Quechua). It shows that the </w:t>
      </w:r>
      <w:r w:rsidR="00D457B3">
        <w:t>singulative</w:t>
      </w:r>
      <w:r>
        <w:t>-prominent lexemes strongly tend to be more frequently employed in a multiplex sense than in a uniplex sense, compared to randomly sampled nouns.</w:t>
      </w:r>
    </w:p>
    <w:p w14:paraId="706BD11F" w14:textId="16578647" w:rsidR="009B4502" w:rsidRDefault="0024169C" w:rsidP="009B4502">
      <w:pPr>
        <w:pStyle w:val="Heading1"/>
      </w:pPr>
      <w:r w:rsidRPr="007148BD">
        <w:t>Discussion</w:t>
      </w:r>
    </w:p>
    <w:p w14:paraId="54FC165B" w14:textId="2921A971" w:rsidR="0024169C" w:rsidRDefault="0024169C" w:rsidP="0024169C">
      <w:r>
        <w:t>The above results show that the answer to both</w:t>
      </w:r>
      <w:r w:rsidR="004D615B">
        <w:t xml:space="preserve"> research questions</w:t>
      </w:r>
      <w:r>
        <w:t xml:space="preserve"> [A] and [B] is yes. First, Haspelmath</w:t>
      </w:r>
      <w:r w:rsidR="003B6A67">
        <w:t>/</w:t>
      </w:r>
      <w:r>
        <w:t xml:space="preserve">Karjus’ </w:t>
      </w:r>
      <w:r w:rsidR="001B3A3B">
        <w:fldChar w:fldCharType="begin"/>
      </w:r>
      <w:r w:rsidR="001B3A3B">
        <w:instrText xml:space="preserve"> ADDIN ZOTERO_ITEM CSL_CITATION {"citationID":"OEmoihom","properties":{"formattedCitation":"(2017)","plainCitation":"(2017)","noteIndex":0},"citationItems":[{"id":1732,"uris":["http://zotero.org/users/3655733/items/UR833STY"],"itemData":{"id":1732,"type":"article-journal","abstract":"This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ppress-author":true}],"schema":"https://github.com/citation-style-language/schema/raw/master/csl-citation.json"} </w:instrText>
      </w:r>
      <w:r w:rsidR="001B3A3B">
        <w:fldChar w:fldCharType="separate"/>
      </w:r>
      <w:r w:rsidR="001B3A3B">
        <w:rPr>
          <w:noProof/>
        </w:rPr>
        <w:t>(2017)</w:t>
      </w:r>
      <w:r w:rsidR="001B3A3B">
        <w:fldChar w:fldCharType="end"/>
      </w:r>
      <w:r>
        <w:t xml:space="preserve"> hypothesis is replicated in Hindi, Sinhala, Spanish, and Swedish and proves to be a robust hypothesis. Importantly, this is the first study to demonstrate that </w:t>
      </w:r>
      <w:r w:rsidR="00E315FC">
        <w:t>singulative</w:t>
      </w:r>
      <w:r>
        <w:t>-prominent lexemes are more frequently expressed by basic forms than by singulative (derived) forms in a singulative language like Sinhala</w:t>
      </w:r>
      <w:r w:rsidR="004D615B">
        <w:t>. These</w:t>
      </w:r>
      <w:r w:rsidR="004D615B" w:rsidRPr="004D615B">
        <w:t xml:space="preserve"> findings are consistent with the predictions </w:t>
      </w:r>
      <w:r w:rsidR="008F2F0D" w:rsidRPr="008F2F0D">
        <w:rPr>
          <w:rFonts w:cs="Libertinus Serif"/>
          <w:color w:val="000000"/>
        </w:rPr>
        <w:t>made</w:t>
      </w:r>
      <w:r w:rsidR="004D615B" w:rsidRPr="004D615B">
        <w:t xml:space="preserve"> by</w:t>
      </w:r>
      <w:r w:rsidR="004D615B">
        <w:t xml:space="preserve"> Haspelmath</w:t>
      </w:r>
      <w:r w:rsidR="003B6A67">
        <w:t>/</w:t>
      </w:r>
      <w:r w:rsidR="004D615B">
        <w:t xml:space="preserve">Karjus </w:t>
      </w:r>
      <w:r w:rsidR="00081FFB">
        <w:fldChar w:fldCharType="begin"/>
      </w:r>
      <w:r w:rsidR="005809FB">
        <w:instrText xml:space="preserve"> ADDIN ZOTERO_ITEM CSL_CITATION {"citationID":"WejCfTW9","properties":{"formattedCitation":"(2017)","plainCitation":"(2017)","noteIndex":0},"citationItems":[{"id":1732,"uris":["http://zotero.org/users/3655733/items/UR833STY"],"itemData":{"id":1732,"type":"article-journal","abstract":"This paper claims that crosslinguistic tendencies of number marking asymmetries can be explained with reference to usage frequency: The kinds of nouns which, across languages, tend to show singulative coding (with special marking of the uniplex member of a pair), rather than the more usual plurative coding (with special marking of the multiplex member), are also the kinds of nouns which tend to occur more frequently in multiplex use. We provide crosslinguistic coding evidence from a range of languages from different families and areas, and crosslinguistic corpus evidence from five languages, using large written corpora. Thus, the crosslinguistic pattern of singulative vs. plurative coding is a special instance of the tendency to devote more marking to rarer forms, and can be explained by the grammatical form-frequency correspondence principle.","container-title":"Linguistics","DOI":"10.1515/ling-2017-0026","ISSN":"0024-3949, 1613-396X","issue":"6","language":"en","page":"1213–1235","source":"DOI.org (Crossref)","title":"Explaining asymmetries in number marking: Singulatives, pluratives, and usage frequency","title-short":"Explaining asymmetries in number marking","volume":"55","author":[{"family":"Haspelmath","given":"Martin"},{"family":"Karjus","given":"Andres"}],"issued":{"date-parts":[["2017",1,27]]}},"label":"page","suppress-author":true}],"schema":"https://github.com/citation-style-language/schema/raw/master/csl-citation.json"} </w:instrText>
      </w:r>
      <w:r w:rsidR="00081FFB">
        <w:fldChar w:fldCharType="separate"/>
      </w:r>
      <w:r w:rsidR="00081FFB">
        <w:rPr>
          <w:noProof/>
        </w:rPr>
        <w:t>(2017)</w:t>
      </w:r>
      <w:r w:rsidR="00081FFB">
        <w:fldChar w:fldCharType="end"/>
      </w:r>
      <w:r w:rsidR="004D615B" w:rsidRPr="004D615B">
        <w:t xml:space="preserve">, providing further support for the validity and </w:t>
      </w:r>
      <w:r w:rsidR="008F2F0D" w:rsidRPr="008F2F0D">
        <w:rPr>
          <w:rFonts w:cs="Libertinus Serif"/>
          <w:color w:val="000000"/>
        </w:rPr>
        <w:t>generalisability</w:t>
      </w:r>
      <w:r w:rsidR="004D615B" w:rsidRPr="004D615B">
        <w:t xml:space="preserve"> of their findings.</w:t>
      </w:r>
    </w:p>
    <w:p w14:paraId="3F63FA3D" w14:textId="260A2F93" w:rsidR="00702649" w:rsidRDefault="0024169C">
      <w:r>
        <w:t>Second, this study also shows that general number languages exhibit the same</w:t>
      </w:r>
      <w:r w:rsidR="00672041">
        <w:t xml:space="preserve"> </w:t>
      </w:r>
      <w:r w:rsidR="009A4964">
        <w:t>kind</w:t>
      </w:r>
      <w:r w:rsidR="00672041">
        <w:t xml:space="preserve"> of</w:t>
      </w:r>
      <w:r>
        <w:t xml:space="preserve"> frequency asymmetries as number-marking languages, even though they lack form distinctions between uniplex and multiplex forms</w:t>
      </w:r>
      <w:r w:rsidR="00F4296B">
        <w:t>.</w:t>
      </w:r>
      <w:r w:rsidR="00E315FC">
        <w:t xml:space="preserve"> </w:t>
      </w:r>
      <w:r>
        <w:t>Thus, by contrasting two different types of languages, this study suggests that frequency asymmetries between uniplex and multiplex nouns universally exist, although they do not always result in coding asymmetries.</w:t>
      </w:r>
    </w:p>
    <w:p w14:paraId="793071F6" w14:textId="77777777" w:rsidR="00AB181E" w:rsidRDefault="00224AA6">
      <w:pPr>
        <w:pStyle w:val="TableofAuthorities"/>
      </w:pPr>
      <w:r>
        <w:t>References</w:t>
      </w:r>
    </w:p>
    <w:p w14:paraId="00C0F9CC" w14:textId="77777777" w:rsidR="00A000EB" w:rsidRPr="00A000EB" w:rsidRDefault="00173CA8" w:rsidP="00A000EB">
      <w:pPr>
        <w:pStyle w:val="Literaturverzeichnis1"/>
        <w:rPr>
          <w:rFonts w:cs="Libertinus Serif"/>
          <w:lang w:val="en-US"/>
        </w:rPr>
      </w:pPr>
      <w:r>
        <w:fldChar w:fldCharType="begin"/>
      </w:r>
      <w:r w:rsidR="00A000EB">
        <w:instrText xml:space="preserve"> ADDIN ZOTERO_BIBL {"uncited":[],"omitted":[],"custom":[]} CSL_BIBLIOGRAPHY </w:instrText>
      </w:r>
      <w:r>
        <w:fldChar w:fldCharType="separate"/>
      </w:r>
      <w:r w:rsidR="00A000EB" w:rsidRPr="00A000EB">
        <w:rPr>
          <w:rFonts w:cs="Libertinus Serif"/>
          <w:lang w:val="en-US"/>
        </w:rPr>
        <w:t>Corbett, Greville G. (2000): Number. Cambridge: Cambridge University Press.</w:t>
      </w:r>
    </w:p>
    <w:p w14:paraId="063BC082" w14:textId="77777777" w:rsidR="00A000EB" w:rsidRPr="00A000EB" w:rsidRDefault="00A000EB" w:rsidP="008E6392">
      <w:pPr>
        <w:pStyle w:val="Literaturverzeichnis1"/>
        <w:jc w:val="left"/>
        <w:rPr>
          <w:lang w:val="en-US"/>
        </w:rPr>
      </w:pPr>
      <w:r w:rsidRPr="00A000EB">
        <w:rPr>
          <w:lang w:val="en-US"/>
        </w:rPr>
        <w:t>Fenk-Oczlon, Gertraud (1991): Frequenz und Kognition–Frequenz und Markiertheit. In: Folia Linguistica, 25(3–4), pp. 361–394. https://doi.org/10.1515/flin.1991.25.3-4.361.</w:t>
      </w:r>
    </w:p>
    <w:p w14:paraId="3D54F3F3" w14:textId="77777777" w:rsidR="00A000EB" w:rsidRPr="00A000EB" w:rsidRDefault="00A000EB" w:rsidP="008E6392">
      <w:pPr>
        <w:pStyle w:val="Literaturverzeichnis1"/>
        <w:jc w:val="left"/>
        <w:rPr>
          <w:lang w:val="en-US"/>
        </w:rPr>
      </w:pPr>
      <w:r w:rsidRPr="00A000EB">
        <w:rPr>
          <w:lang w:val="en-US"/>
        </w:rPr>
        <w:t>Haspelmath, Martin (2008): Frequency vs. iconicity in explaining grammatical asymmetries. In: Cognitive Linguistics, 19(1), pp. 1–33. https://doi.org/10.1515/COG.2008.001.</w:t>
      </w:r>
    </w:p>
    <w:p w14:paraId="7F1F8381" w14:textId="77777777" w:rsidR="00A000EB" w:rsidRPr="00A000EB" w:rsidRDefault="00A000EB" w:rsidP="008E6392">
      <w:pPr>
        <w:pStyle w:val="Literaturverzeichnis1"/>
        <w:jc w:val="left"/>
        <w:rPr>
          <w:lang w:val="en-US"/>
        </w:rPr>
      </w:pPr>
      <w:r w:rsidRPr="00A000EB">
        <w:rPr>
          <w:lang w:val="en-US"/>
        </w:rPr>
        <w:t>Haspelmath, Martin/Karjus, Andres (2017): Explaining asymmetries in number marking: Singulatives, pluratives, and usage frequency. In: Linguistics, 55(6), pp. 1213–1235. https://doi.org/10.1515/ling-2017-0026.</w:t>
      </w:r>
    </w:p>
    <w:p w14:paraId="7704DEBA" w14:textId="77777777" w:rsidR="00A000EB" w:rsidRPr="00A000EB" w:rsidRDefault="00A000EB" w:rsidP="008E6392">
      <w:pPr>
        <w:pStyle w:val="Literaturverzeichnis1"/>
        <w:jc w:val="left"/>
        <w:rPr>
          <w:lang w:val="en-US"/>
        </w:rPr>
      </w:pPr>
      <w:r w:rsidRPr="00A000EB">
        <w:rPr>
          <w:lang w:val="en-US"/>
        </w:rPr>
        <w:t>Hawkins, John A. (2004): Efficiency and complexity in grammars. Oxford: Oxford University Press.</w:t>
      </w:r>
    </w:p>
    <w:p w14:paraId="10E170F2" w14:textId="77777777" w:rsidR="00A000EB" w:rsidRPr="00A000EB" w:rsidRDefault="00A000EB" w:rsidP="008E6392">
      <w:pPr>
        <w:pStyle w:val="Literaturverzeichnis1"/>
        <w:jc w:val="left"/>
        <w:rPr>
          <w:lang w:val="en-US"/>
        </w:rPr>
      </w:pPr>
      <w:r w:rsidRPr="00A000EB">
        <w:rPr>
          <w:lang w:val="en-US"/>
        </w:rPr>
        <w:t>Talmy, Leonard (1988): The relation of grammar to cognition: A synopsis. In: Rudzka-Ostyn, Brygida (ed.): Topics in cognitive linguistics. Amsterdam: John Benjamins, pp. 166–205. https://doi.org/10.1075/cilt.50.08tal.</w:t>
      </w:r>
    </w:p>
    <w:p w14:paraId="33B6B2A1" w14:textId="77777777" w:rsidR="00A000EB" w:rsidRPr="00A000EB" w:rsidRDefault="00A000EB" w:rsidP="008E6392">
      <w:pPr>
        <w:pStyle w:val="Literaturverzeichnis1"/>
        <w:jc w:val="left"/>
        <w:rPr>
          <w:lang w:val="en-US"/>
        </w:rPr>
      </w:pPr>
      <w:r w:rsidRPr="00A000EB">
        <w:rPr>
          <w:lang w:val="en-US"/>
        </w:rPr>
        <w:t>Zipf, George Kingsley (1935): The psycho-biology of language: An introduction to dynamic philology. Cambridge, MA: MIT Press.</w:t>
      </w:r>
    </w:p>
    <w:p w14:paraId="2E9A0400" w14:textId="3EB0D9FD" w:rsidR="00AB181E" w:rsidRDefault="00173CA8" w:rsidP="009B4502">
      <w:pPr>
        <w:pStyle w:val="Heading1"/>
      </w:pPr>
      <w:r>
        <w:fldChar w:fldCharType="end"/>
      </w:r>
      <w:r w:rsidR="00224AA6">
        <w:t xml:space="preserve">Contact </w:t>
      </w:r>
      <w:proofErr w:type="gramStart"/>
      <w:r w:rsidR="00224AA6">
        <w:t>information</w:t>
      </w:r>
      <w:proofErr w:type="gramEnd"/>
    </w:p>
    <w:p w14:paraId="1B1ACEE1" w14:textId="7F6B57F9" w:rsidR="00AB181E" w:rsidRDefault="0060529D">
      <w:r>
        <w:rPr>
          <w:rStyle w:val="Strong"/>
        </w:rPr>
        <w:t>Shigeki Yoshida</w:t>
      </w:r>
    </w:p>
    <w:p w14:paraId="3FA694D1" w14:textId="77777777" w:rsidR="0060529D" w:rsidRDefault="0060529D" w:rsidP="0060529D">
      <w:r>
        <w:t>The University of Tokyo</w:t>
      </w:r>
    </w:p>
    <w:p w14:paraId="713DD809" w14:textId="6F64A713" w:rsidR="0060529D" w:rsidRDefault="00000000">
      <w:hyperlink r:id="rId9" w:history="1">
        <w:r w:rsidR="0060529D" w:rsidRPr="00F94FA5">
          <w:rPr>
            <w:rStyle w:val="Hyperlink"/>
          </w:rPr>
          <w:t>shige.mountain.linguistics@gmail.com</w:t>
        </w:r>
      </w:hyperlink>
      <w:r w:rsidR="0060529D">
        <w:t xml:space="preserve"> </w:t>
      </w:r>
    </w:p>
    <w:p w14:paraId="531E7B79" w14:textId="77777777" w:rsidR="00AB181E" w:rsidRDefault="00AB181E">
      <w:pPr>
        <w:pStyle w:val="Literaturverzeichnis1"/>
        <w:ind w:left="0" w:firstLine="0"/>
      </w:pPr>
    </w:p>
    <w:p w14:paraId="270753C0" w14:textId="2575E8CC" w:rsidR="00186CE5" w:rsidRDefault="0060529D" w:rsidP="00186CE5">
      <w:r>
        <w:rPr>
          <w:rStyle w:val="Strong"/>
        </w:rPr>
        <w:t>Mai Hayashi</w:t>
      </w:r>
    </w:p>
    <w:p w14:paraId="5DA5E09B" w14:textId="77777777" w:rsidR="0060529D" w:rsidRDefault="0060529D" w:rsidP="0060529D">
      <w:r>
        <w:t>The University of Tokyo</w:t>
      </w:r>
    </w:p>
    <w:p w14:paraId="1F3713CD" w14:textId="4955833D" w:rsidR="00186CE5" w:rsidRDefault="00000000" w:rsidP="00186CE5">
      <w:hyperlink r:id="rId10" w:history="1">
        <w:r w:rsidR="0060529D" w:rsidRPr="00F94FA5">
          <w:rPr>
            <w:rStyle w:val="Hyperlink"/>
          </w:rPr>
          <w:t>maimaimaingay@gmail.com</w:t>
        </w:r>
      </w:hyperlink>
      <w:r w:rsidR="0060529D">
        <w:t xml:space="preserve"> </w:t>
      </w:r>
    </w:p>
    <w:p w14:paraId="5373A9D2" w14:textId="77777777" w:rsidR="00AB181E" w:rsidRDefault="00AB181E">
      <w:pPr>
        <w:pStyle w:val="Literaturverzeichnis1"/>
        <w:ind w:left="0" w:firstLine="0"/>
      </w:pPr>
    </w:p>
    <w:p w14:paraId="0403D700" w14:textId="248BD3C9" w:rsidR="00186CE5" w:rsidRDefault="0060529D" w:rsidP="00186CE5">
      <w:r>
        <w:rPr>
          <w:rStyle w:val="Strong"/>
        </w:rPr>
        <w:t>Sakura Ishika</w:t>
      </w:r>
      <w:r w:rsidR="00657CD4">
        <w:rPr>
          <w:rStyle w:val="Strong"/>
        </w:rPr>
        <w:t>w</w:t>
      </w:r>
      <w:r>
        <w:rPr>
          <w:rStyle w:val="Strong"/>
        </w:rPr>
        <w:t>a</w:t>
      </w:r>
    </w:p>
    <w:p w14:paraId="225BC1BD" w14:textId="4AF61AD6" w:rsidR="00186CE5" w:rsidRDefault="0060529D" w:rsidP="00186CE5">
      <w:r>
        <w:t>Tokyo University of Foreign Studies</w:t>
      </w:r>
    </w:p>
    <w:p w14:paraId="352445FB" w14:textId="07B7FFEC" w:rsidR="00186CE5" w:rsidRDefault="00000000" w:rsidP="00186CE5">
      <w:hyperlink r:id="rId11" w:history="1">
        <w:r w:rsidR="0060529D" w:rsidRPr="00F94FA5">
          <w:rPr>
            <w:rStyle w:val="Hyperlink"/>
          </w:rPr>
          <w:t>sakura.ishikawa.di2@gmail.com</w:t>
        </w:r>
      </w:hyperlink>
      <w:r w:rsidR="0060529D">
        <w:t xml:space="preserve"> </w:t>
      </w:r>
    </w:p>
    <w:p w14:paraId="44156656" w14:textId="77777777" w:rsidR="00186CE5" w:rsidRDefault="00186CE5">
      <w:pPr>
        <w:pStyle w:val="Literaturverzeichnis1"/>
        <w:ind w:left="0" w:firstLine="0"/>
      </w:pPr>
    </w:p>
    <w:p w14:paraId="32CBF192" w14:textId="07747E1A" w:rsidR="00186CE5" w:rsidRDefault="0060529D" w:rsidP="00186CE5">
      <w:r>
        <w:rPr>
          <w:rStyle w:val="Strong"/>
        </w:rPr>
        <w:t xml:space="preserve">Yuko </w:t>
      </w:r>
      <w:proofErr w:type="spellStart"/>
      <w:r>
        <w:rPr>
          <w:rStyle w:val="Strong"/>
        </w:rPr>
        <w:t>Morokuma</w:t>
      </w:r>
      <w:proofErr w:type="spellEnd"/>
    </w:p>
    <w:p w14:paraId="6B84B879" w14:textId="5EFBADA9" w:rsidR="0060529D" w:rsidRDefault="00073968" w:rsidP="0060529D">
      <w:r w:rsidRPr="00073968">
        <w:t>National Institute for Japanese Language and Linguistics</w:t>
      </w:r>
    </w:p>
    <w:p w14:paraId="602A97C5" w14:textId="0763AF7E" w:rsidR="00186CE5" w:rsidRPr="00073968" w:rsidRDefault="00E158D0" w:rsidP="00186CE5">
      <w:pPr>
        <w:rPr>
          <w:lang w:val="en-US"/>
        </w:rPr>
      </w:pPr>
      <w:hyperlink r:id="rId12" w:history="1">
        <w:r w:rsidRPr="00F94FA5">
          <w:rPr>
            <w:rStyle w:val="Hyperlink"/>
          </w:rPr>
          <w:t>y.ukumari322@gmail.com</w:t>
        </w:r>
      </w:hyperlink>
    </w:p>
    <w:p w14:paraId="3DC74676" w14:textId="77777777" w:rsidR="0060529D" w:rsidRDefault="0060529D" w:rsidP="0060529D">
      <w:pPr>
        <w:pStyle w:val="Literaturverzeichnis1"/>
        <w:ind w:left="0" w:firstLine="0"/>
      </w:pPr>
    </w:p>
    <w:p w14:paraId="3C31B570" w14:textId="217FD200" w:rsidR="0060529D" w:rsidRPr="0060529D" w:rsidRDefault="0060529D" w:rsidP="00897B5D">
      <w:r>
        <w:rPr>
          <w:rStyle w:val="Strong"/>
        </w:rPr>
        <w:t xml:space="preserve">Yuta </w:t>
      </w:r>
      <w:proofErr w:type="spellStart"/>
      <w:r>
        <w:rPr>
          <w:rStyle w:val="Strong"/>
        </w:rPr>
        <w:t>Sakon</w:t>
      </w:r>
      <w:proofErr w:type="spellEnd"/>
    </w:p>
    <w:p w14:paraId="5A0A4E52" w14:textId="77777777" w:rsidR="0060529D" w:rsidRDefault="0060529D" w:rsidP="0060529D">
      <w:r>
        <w:t>The University of Tokyo</w:t>
      </w:r>
    </w:p>
    <w:p w14:paraId="586B8850" w14:textId="75892BCB" w:rsidR="0060529D" w:rsidRDefault="00000000" w:rsidP="0060529D">
      <w:hyperlink r:id="rId13" w:history="1">
        <w:r w:rsidR="0060529D" w:rsidRPr="00F94FA5">
          <w:rPr>
            <w:rStyle w:val="Hyperlink"/>
          </w:rPr>
          <w:t>y.sakon322@gmail.com</w:t>
        </w:r>
      </w:hyperlink>
    </w:p>
    <w:p w14:paraId="20E704B8" w14:textId="77777777" w:rsidR="0060529D" w:rsidRDefault="0060529D" w:rsidP="0060529D">
      <w:pPr>
        <w:pStyle w:val="Literaturverzeichnis1"/>
        <w:ind w:left="0" w:firstLine="0"/>
      </w:pPr>
    </w:p>
    <w:p w14:paraId="12F3A4CC" w14:textId="30594DD0" w:rsidR="00186CE5" w:rsidRPr="0060529D" w:rsidRDefault="0060529D" w:rsidP="00897B5D">
      <w:proofErr w:type="spellStart"/>
      <w:r>
        <w:rPr>
          <w:rStyle w:val="Strong"/>
        </w:rPr>
        <w:t>Yui</w:t>
      </w:r>
      <w:proofErr w:type="spellEnd"/>
      <w:r>
        <w:rPr>
          <w:rStyle w:val="Strong"/>
        </w:rPr>
        <w:t xml:space="preserve"> Suzuki</w:t>
      </w:r>
    </w:p>
    <w:p w14:paraId="262B706C" w14:textId="77777777" w:rsidR="0060529D" w:rsidRDefault="0060529D" w:rsidP="0060529D">
      <w:r>
        <w:t>The University of Tokyo</w:t>
      </w:r>
    </w:p>
    <w:p w14:paraId="06F15935" w14:textId="5FF70861" w:rsidR="00186CE5" w:rsidRDefault="00000000" w:rsidP="00186CE5">
      <w:hyperlink r:id="rId14" w:history="1">
        <w:r w:rsidR="0060529D" w:rsidRPr="00F94FA5">
          <w:rPr>
            <w:rStyle w:val="Hyperlink"/>
          </w:rPr>
          <w:t>suzuki.yui.s.y@gmail.com</w:t>
        </w:r>
      </w:hyperlink>
    </w:p>
    <w:p w14:paraId="640445B9" w14:textId="77777777" w:rsidR="00186CE5" w:rsidRDefault="00186CE5">
      <w:pPr>
        <w:pStyle w:val="Literaturverzeichnis1"/>
        <w:ind w:left="0" w:firstLine="0"/>
      </w:pPr>
    </w:p>
    <w:p w14:paraId="358A4141" w14:textId="50B8BD1D" w:rsidR="00186CE5" w:rsidRDefault="0060529D" w:rsidP="00186CE5">
      <w:proofErr w:type="spellStart"/>
      <w:r>
        <w:rPr>
          <w:rStyle w:val="Strong"/>
        </w:rPr>
        <w:t>Mizuki</w:t>
      </w:r>
      <w:proofErr w:type="spellEnd"/>
      <w:r>
        <w:rPr>
          <w:rStyle w:val="Strong"/>
        </w:rPr>
        <w:t xml:space="preserve"> </w:t>
      </w:r>
      <w:proofErr w:type="spellStart"/>
      <w:r>
        <w:rPr>
          <w:rStyle w:val="Strong"/>
        </w:rPr>
        <w:t>Tanigawa</w:t>
      </w:r>
      <w:proofErr w:type="spellEnd"/>
    </w:p>
    <w:p w14:paraId="13C5CBE3" w14:textId="77777777" w:rsidR="0060529D" w:rsidRDefault="0060529D" w:rsidP="0060529D">
      <w:r>
        <w:t>The University of Tokyo</w:t>
      </w:r>
    </w:p>
    <w:p w14:paraId="666F8183" w14:textId="52DDA2FA" w:rsidR="00186CE5" w:rsidRDefault="00000000" w:rsidP="00186CE5">
      <w:hyperlink r:id="rId15" w:history="1">
        <w:r w:rsidR="0060529D" w:rsidRPr="00F94FA5">
          <w:rPr>
            <w:rStyle w:val="Hyperlink"/>
          </w:rPr>
          <w:t>mizuki.tanigawa.ling@gmail.com</w:t>
        </w:r>
      </w:hyperlink>
    </w:p>
    <w:p w14:paraId="0A067A30" w14:textId="77777777" w:rsidR="00186CE5" w:rsidRDefault="00186CE5">
      <w:pPr>
        <w:pStyle w:val="Literaturverzeichnis1"/>
        <w:ind w:left="0" w:firstLine="0"/>
      </w:pPr>
    </w:p>
    <w:p w14:paraId="32D0B4BA" w14:textId="7B1FAD02" w:rsidR="00186CE5" w:rsidRDefault="00186CE5" w:rsidP="00186CE5">
      <w:r>
        <w:rPr>
          <w:rStyle w:val="Strong"/>
        </w:rPr>
        <w:t>Naonori Nagaya</w:t>
      </w:r>
    </w:p>
    <w:p w14:paraId="0BB21A6A" w14:textId="4AD70253" w:rsidR="00186CE5" w:rsidRDefault="00186CE5" w:rsidP="00186CE5">
      <w:r>
        <w:t>The University of Tokyo</w:t>
      </w:r>
    </w:p>
    <w:p w14:paraId="4AAC1BFD" w14:textId="485749DB" w:rsidR="00186CE5" w:rsidRDefault="00000000" w:rsidP="00186CE5">
      <w:hyperlink r:id="rId16" w:history="1">
        <w:r w:rsidR="0060529D" w:rsidRPr="00F94FA5">
          <w:rPr>
            <w:rStyle w:val="Hyperlink"/>
          </w:rPr>
          <w:t>nagaya@l.u-tokyo.ac.jp</w:t>
        </w:r>
      </w:hyperlink>
    </w:p>
    <w:p w14:paraId="473762A8" w14:textId="77777777" w:rsidR="00186CE5" w:rsidRDefault="00186CE5">
      <w:pPr>
        <w:pStyle w:val="Literaturverzeichnis1"/>
        <w:ind w:left="0" w:firstLine="0"/>
      </w:pPr>
    </w:p>
    <w:sectPr w:rsidR="00186CE5">
      <w:headerReference w:type="default" r:id="rId17"/>
      <w:footerReference w:type="default" r:id="rId18"/>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27E8C" w14:textId="77777777" w:rsidR="00C62812" w:rsidRDefault="00C62812">
      <w:pPr>
        <w:spacing w:before="0" w:line="240" w:lineRule="auto"/>
      </w:pPr>
      <w:r>
        <w:separator/>
      </w:r>
    </w:p>
  </w:endnote>
  <w:endnote w:type="continuationSeparator" w:id="0">
    <w:p w14:paraId="41197290" w14:textId="77777777" w:rsidR="00C62812" w:rsidRDefault="00C628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embedRegular r:id="rId1" w:fontKey="{1BBF1641-859F-1C47-A65C-680D37EC00ED}"/>
    <w:embedBold r:id="rId2" w:fontKey="{F07B976D-7FD3-6142-AD3B-5E9FDBE5D912}"/>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26651A58-0AA8-7041-B453-5FFD76C5A1B0}"/>
    <w:embedBold r:id="rId4" w:fontKey="{C9EA2D65-2D70-BB4E-AE0D-35CE4A63CF04}"/>
    <w:embedItalic r:id="rId5" w:fontKey="{6437267D-30EB-D844-9ED3-8ED95FC01A2F}"/>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0" w:fontKey="{716A7B97-82AE-F449-9D85-AC6D2CE08CE8}"/>
    <w:embedBold r:id="rId11" w:fontKey="{033E74BE-B9AF-AB46-9530-570A1570B352}"/>
  </w:font>
  <w:font w:name="Times New Roman">
    <w:panose1 w:val="02020603050405020304"/>
    <w:charset w:val="00"/>
    <w:family w:val="roman"/>
    <w:pitch w:val="variable"/>
    <w:sig w:usb0="E0002EFF" w:usb1="C000785B" w:usb2="00000009" w:usb3="00000000" w:csb0="000001FF" w:csb1="00000000"/>
    <w:embedRegular r:id="rId12" w:fontKey="{64C7A914-8298-DE43-B795-39D3B8B13F52}"/>
    <w:embedBold r:id="rId13" w:fontKey="{C1D584EF-FF14-AE4C-81BC-64C273D3BE68}"/>
    <w:embedItalic r:id="rId14" w:fontKey="{DD9147AB-DCB0-1943-AE02-46432FD1A0A4}"/>
    <w:embedBoldItalic r:id="rId15" w:fontKey="{CB7EA2C5-6B02-5D40-A091-52135FE6C661}"/>
  </w:font>
  <w:font w:name="OpenSymbol">
    <w:altName w:val="Arial Unicode MS"/>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21" w:fontKey="{5BA8C47D-FA08-1C48-8D72-232181CFAAE1}"/>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32C8"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09F3D9BB" w14:textId="77777777" w:rsidR="00AB181E" w:rsidRDefault="00AB181E">
    <w:pPr>
      <w:pStyle w:val="Footer"/>
    </w:pPr>
  </w:p>
  <w:p w14:paraId="6AF4A1D0"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E3BA6" w14:textId="77777777" w:rsidR="00C62812" w:rsidRDefault="00C62812">
      <w:pPr>
        <w:rPr>
          <w:sz w:val="12"/>
        </w:rPr>
      </w:pPr>
      <w:r>
        <w:separator/>
      </w:r>
    </w:p>
  </w:footnote>
  <w:footnote w:type="continuationSeparator" w:id="0">
    <w:p w14:paraId="45332A35" w14:textId="77777777" w:rsidR="00C62812" w:rsidRDefault="00C62812">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B3C0" w14:textId="77777777" w:rsidR="00AB181E" w:rsidRDefault="00224AA6">
    <w:pPr>
      <w:pStyle w:val="Header"/>
    </w:pPr>
    <w:r>
      <w:t>ICLC-10 2023 - Document Template for Revised Abstract</w:t>
    </w:r>
    <w:r>
      <w:rPr>
        <w:lang w:val="en-US"/>
      </w:rPr>
      <w:t>s</w:t>
    </w:r>
  </w:p>
  <w:p w14:paraId="10088AF2"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035079518">
    <w:abstractNumId w:val="0"/>
  </w:num>
  <w:num w:numId="2" w16cid:durableId="481233970">
    <w:abstractNumId w:val="1"/>
  </w:num>
  <w:num w:numId="3" w16cid:durableId="1779520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64FB9"/>
    <w:rsid w:val="00073968"/>
    <w:rsid w:val="00081FFB"/>
    <w:rsid w:val="00097D86"/>
    <w:rsid w:val="000B60D3"/>
    <w:rsid w:val="000E010C"/>
    <w:rsid w:val="000E2A39"/>
    <w:rsid w:val="000F11EC"/>
    <w:rsid w:val="001072D8"/>
    <w:rsid w:val="00151D44"/>
    <w:rsid w:val="0016551C"/>
    <w:rsid w:val="00173CA8"/>
    <w:rsid w:val="00186CE5"/>
    <w:rsid w:val="001B3A3B"/>
    <w:rsid w:val="001C482C"/>
    <w:rsid w:val="002103EB"/>
    <w:rsid w:val="00224AA6"/>
    <w:rsid w:val="00227F60"/>
    <w:rsid w:val="0024169C"/>
    <w:rsid w:val="002416FB"/>
    <w:rsid w:val="002522CF"/>
    <w:rsid w:val="002A473F"/>
    <w:rsid w:val="002E7AA5"/>
    <w:rsid w:val="002F3C0A"/>
    <w:rsid w:val="00375D0A"/>
    <w:rsid w:val="00377E96"/>
    <w:rsid w:val="003801EC"/>
    <w:rsid w:val="003B6A67"/>
    <w:rsid w:val="003D3310"/>
    <w:rsid w:val="003E0BC1"/>
    <w:rsid w:val="003E161C"/>
    <w:rsid w:val="004008BD"/>
    <w:rsid w:val="0043432C"/>
    <w:rsid w:val="00454805"/>
    <w:rsid w:val="00457D7F"/>
    <w:rsid w:val="004C5262"/>
    <w:rsid w:val="004C5376"/>
    <w:rsid w:val="004D615B"/>
    <w:rsid w:val="004E0D10"/>
    <w:rsid w:val="004E5589"/>
    <w:rsid w:val="005809FB"/>
    <w:rsid w:val="0060529D"/>
    <w:rsid w:val="0063105C"/>
    <w:rsid w:val="006550FF"/>
    <w:rsid w:val="006551D6"/>
    <w:rsid w:val="00657CD4"/>
    <w:rsid w:val="00672041"/>
    <w:rsid w:val="0068360E"/>
    <w:rsid w:val="00694682"/>
    <w:rsid w:val="00697FB9"/>
    <w:rsid w:val="006A401F"/>
    <w:rsid w:val="006B1D15"/>
    <w:rsid w:val="006D6390"/>
    <w:rsid w:val="006E3E59"/>
    <w:rsid w:val="00702649"/>
    <w:rsid w:val="00711F5A"/>
    <w:rsid w:val="007148BD"/>
    <w:rsid w:val="00717483"/>
    <w:rsid w:val="007604DA"/>
    <w:rsid w:val="00780BF0"/>
    <w:rsid w:val="007954C7"/>
    <w:rsid w:val="00812D4A"/>
    <w:rsid w:val="008517E1"/>
    <w:rsid w:val="00870349"/>
    <w:rsid w:val="00897B5D"/>
    <w:rsid w:val="008E6392"/>
    <w:rsid w:val="008F2F0D"/>
    <w:rsid w:val="009137D8"/>
    <w:rsid w:val="00913F62"/>
    <w:rsid w:val="0091663A"/>
    <w:rsid w:val="00920902"/>
    <w:rsid w:val="00923F9C"/>
    <w:rsid w:val="00993025"/>
    <w:rsid w:val="009A4964"/>
    <w:rsid w:val="009B21D4"/>
    <w:rsid w:val="009B4502"/>
    <w:rsid w:val="009D4AD9"/>
    <w:rsid w:val="009E1CB9"/>
    <w:rsid w:val="00A000EB"/>
    <w:rsid w:val="00A21A74"/>
    <w:rsid w:val="00A271FA"/>
    <w:rsid w:val="00A54BA3"/>
    <w:rsid w:val="00A91211"/>
    <w:rsid w:val="00AB181E"/>
    <w:rsid w:val="00B22F8E"/>
    <w:rsid w:val="00B4430D"/>
    <w:rsid w:val="00B500FF"/>
    <w:rsid w:val="00BD51D7"/>
    <w:rsid w:val="00C425D1"/>
    <w:rsid w:val="00C508B2"/>
    <w:rsid w:val="00C62812"/>
    <w:rsid w:val="00C85193"/>
    <w:rsid w:val="00C96676"/>
    <w:rsid w:val="00CA1405"/>
    <w:rsid w:val="00CD2972"/>
    <w:rsid w:val="00D457B3"/>
    <w:rsid w:val="00D80537"/>
    <w:rsid w:val="00D87491"/>
    <w:rsid w:val="00DB1137"/>
    <w:rsid w:val="00DB1324"/>
    <w:rsid w:val="00DB56A6"/>
    <w:rsid w:val="00DE6808"/>
    <w:rsid w:val="00E158D0"/>
    <w:rsid w:val="00E315FC"/>
    <w:rsid w:val="00E37B2C"/>
    <w:rsid w:val="00E922BF"/>
    <w:rsid w:val="00EC032D"/>
    <w:rsid w:val="00F00ABB"/>
    <w:rsid w:val="00F4296B"/>
    <w:rsid w:val="00F42AA2"/>
    <w:rsid w:val="00F47A0D"/>
    <w:rsid w:val="00F53E60"/>
    <w:rsid w:val="00FA7FC4"/>
    <w:rsid w:val="00FB7F99"/>
    <w:rsid w:val="00FF30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7FE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UnresolvedMention">
    <w:name w:val="Unresolved Mention"/>
    <w:basedOn w:val="DefaultParagraphFont"/>
    <w:uiPriority w:val="99"/>
    <w:semiHidden/>
    <w:unhideWhenUsed/>
    <w:rsid w:val="0060529D"/>
    <w:rPr>
      <w:color w:val="605E5C"/>
      <w:shd w:val="clear" w:color="auto" w:fill="E1DFDD"/>
    </w:rPr>
  </w:style>
  <w:style w:type="character" w:styleId="FollowedHyperlink">
    <w:name w:val="FollowedHyperlink"/>
    <w:basedOn w:val="DefaultParagraphFont"/>
    <w:uiPriority w:val="99"/>
    <w:semiHidden/>
    <w:unhideWhenUsed/>
    <w:rsid w:val="0060529D"/>
    <w:rPr>
      <w:color w:val="954F72" w:themeColor="followedHyperlink"/>
      <w:u w:val="single"/>
    </w:rPr>
  </w:style>
  <w:style w:type="paragraph" w:styleId="Bibliography">
    <w:name w:val="Bibliography"/>
    <w:basedOn w:val="Normal"/>
    <w:next w:val="Normal"/>
    <w:uiPriority w:val="37"/>
    <w:unhideWhenUsed/>
    <w:rsid w:val="00173CA8"/>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y.sakon322@gmai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y.ukumari322@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nagaya@l.u-tokyo.ac.j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kura.ishikawa.di2@gmail.com" TargetMode="External"/><Relationship Id="rId5" Type="http://schemas.openxmlformats.org/officeDocument/2006/relationships/footnotes" Target="footnotes.xml"/><Relationship Id="rId15" Type="http://schemas.openxmlformats.org/officeDocument/2006/relationships/hyperlink" Target="mailto:mizuki.tanigawa.ling@gmail.com" TargetMode="External"/><Relationship Id="rId10" Type="http://schemas.openxmlformats.org/officeDocument/2006/relationships/hyperlink" Target="mailto:maimaimaingay@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hige.mountain.linguistics@gmail.com" TargetMode="External"/><Relationship Id="rId14" Type="http://schemas.openxmlformats.org/officeDocument/2006/relationships/hyperlink" Target="mailto:suzuki.yui.s.y@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0A716F-E371-F848-8549-3C339B4D96E2}">
  <we:reference id="wa200001482" version="1.0.5.0" store="en-US" storeType="OMEX"/>
  <we:alternateReferences>
    <we:reference id="wa200001482" version="1.0.5.0" store="WA200001482" storeType="OMEX"/>
  </we:alternateReferences>
  <we:properties>
    <we:property name="cache" value="{}"/>
    <we:property name="user-choices" value="{&quot;9ed816966ea84f19c49eb2151e396642&quot;:&quot;made&quot;,&quot;43f341edcb7b1a247e56bf4cf0c47707&quot;:&quot;generalisability&quot;,&quot;4b75a67b1397b944242c9bb413c3e885&quot;:&quot;To&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208</TotalTime>
  <Pages>5</Pages>
  <Words>3846</Words>
  <Characters>21925</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25720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Naonori Nagaya</cp:lastModifiedBy>
  <cp:revision>94</cp:revision>
  <cp:lastPrinted>2023-05-21T07:41:00Z</cp:lastPrinted>
  <dcterms:created xsi:type="dcterms:W3CDTF">2023-03-12T06:57:00Z</dcterms:created>
  <dcterms:modified xsi:type="dcterms:W3CDTF">2023-05-21T07:41:00Z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id="oDn6sVdJ"/&gt;&lt;style id="http://www.zotero.org/styles/ICLC-10" hasBibliography="1" bibliographyStyleHasBeenSet="1"/&gt;&lt;prefs&gt;&lt;pref name="fieldType" value="Field"/&gt;&lt;pref name="automaticJournalAbbreviat</vt:lpwstr>
  </property>
  <property fmtid="{D5CDD505-2E9C-101B-9397-08002B2CF9AE}" pid="31" name="ZOTERO_PREF_2">
    <vt:lpwstr>ions" value="true"/&gt;&lt;/prefs&gt;&lt;/data&gt;</vt:lpwstr>
  </property>
</Properties>
</file>