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5A54" w14:textId="77777777" w:rsidR="00910380" w:rsidRDefault="00000000">
      <w:pPr>
        <w:pStyle w:val="Author"/>
      </w:pPr>
      <w:r>
        <w:t>Susanne Triesch/Oliver Czulo</w:t>
      </w:r>
    </w:p>
    <w:p w14:paraId="0F9B6FA1" w14:textId="77777777" w:rsidR="009E0497" w:rsidRDefault="009E0497">
      <w:pPr>
        <w:pStyle w:val="Author"/>
      </w:pPr>
    </w:p>
    <w:p w14:paraId="50703755" w14:textId="77777777" w:rsidR="00910380" w:rsidRDefault="00000000">
      <w:pPr>
        <w:pStyle w:val="Untertitel"/>
        <w:spacing w:line="276" w:lineRule="auto"/>
        <w:rPr>
          <w:rFonts w:cs="Tahoma"/>
          <w:color w:val="4FAF4A"/>
          <w:spacing w:val="0"/>
          <w:sz w:val="38"/>
          <w:szCs w:val="56"/>
        </w:rPr>
      </w:pPr>
      <w:r>
        <w:rPr>
          <w:rFonts w:cs="Tahoma"/>
          <w:color w:val="4FAF4A"/>
          <w:spacing w:val="0"/>
          <w:sz w:val="38"/>
          <w:szCs w:val="56"/>
        </w:rPr>
        <w:t>A frame-based approach to the pragmatics of “</w:t>
      </w:r>
      <w:proofErr w:type="spellStart"/>
      <w:r>
        <w:rPr>
          <w:rFonts w:cs="Tahoma"/>
          <w:color w:val="4FAF4A"/>
          <w:spacing w:val="0"/>
          <w:sz w:val="38"/>
          <w:szCs w:val="56"/>
        </w:rPr>
        <w:t>bekanntlich</w:t>
      </w:r>
      <w:proofErr w:type="spellEnd"/>
      <w:r>
        <w:rPr>
          <w:rFonts w:cs="Tahoma"/>
          <w:color w:val="4FAF4A"/>
          <w:spacing w:val="0"/>
          <w:sz w:val="38"/>
          <w:szCs w:val="56"/>
        </w:rPr>
        <w:t>” and English translation equivalents</w:t>
      </w:r>
    </w:p>
    <w:p w14:paraId="7C07AA84" w14:textId="77777777" w:rsidR="00910380" w:rsidRDefault="00000000">
      <w:pPr>
        <w:pStyle w:val="Keywords"/>
        <w:jc w:val="left"/>
      </w:pPr>
      <w:r>
        <w:rPr>
          <w:b/>
          <w:szCs w:val="20"/>
        </w:rPr>
        <w:t>Keywords:</w:t>
      </w:r>
      <w:r>
        <w:rPr>
          <w:szCs w:val="20"/>
        </w:rPr>
        <w:t xml:space="preserve"> frame semantics; pragmatics; pragmatic frames; translation</w:t>
      </w:r>
    </w:p>
    <w:p w14:paraId="4D2586B5" w14:textId="706FA3FC" w:rsidR="00910380" w:rsidRPr="009E0497" w:rsidRDefault="00000000">
      <w:pPr>
        <w:pStyle w:val="Keywords"/>
        <w:jc w:val="left"/>
        <w:rPr>
          <w:sz w:val="22"/>
          <w:szCs w:val="24"/>
        </w:rPr>
      </w:pPr>
      <w:r w:rsidRPr="009E0497">
        <w:rPr>
          <w:sz w:val="22"/>
          <w:szCs w:val="24"/>
        </w:rPr>
        <w:t>Within functional approaches to translation theory, the text is considered the primary unit of translation. Several models developed for describing the pragmatic features of a text (</w:t>
      </w:r>
      <w:proofErr w:type="gramStart"/>
      <w:r w:rsidRPr="009E0497">
        <w:rPr>
          <w:sz w:val="22"/>
          <w:szCs w:val="24"/>
        </w:rPr>
        <w:t>e.g.</w:t>
      </w:r>
      <w:proofErr w:type="gramEnd"/>
      <w:r w:rsidRPr="009E0497">
        <w:rPr>
          <w:sz w:val="22"/>
          <w:szCs w:val="24"/>
        </w:rPr>
        <w:t xml:space="preserve"> House 1997</w:t>
      </w:r>
      <w:r w:rsidR="00792002">
        <w:rPr>
          <w:sz w:val="22"/>
          <w:szCs w:val="24"/>
        </w:rPr>
        <w:t>;</w:t>
      </w:r>
      <w:r w:rsidRPr="009E0497">
        <w:rPr>
          <w:sz w:val="22"/>
          <w:szCs w:val="24"/>
        </w:rPr>
        <w:t xml:space="preserve"> Nord 2009) propose to derive individual translation choices from the functional characterisation of the text as a whole. However, not all pragmatic phenomena can be fully accounted for by textual factors. Instead, they may be rather independent of the overall text and be tied to specific lexical items or grammatical constructions.</w:t>
      </w:r>
    </w:p>
    <w:p w14:paraId="33ADB83A" w14:textId="39AF91A8" w:rsidR="00910380" w:rsidRPr="009E0497" w:rsidRDefault="00000000">
      <w:pPr>
        <w:pStyle w:val="Keywords"/>
        <w:jc w:val="left"/>
        <w:rPr>
          <w:sz w:val="22"/>
          <w:szCs w:val="24"/>
        </w:rPr>
      </w:pPr>
      <w:r w:rsidRPr="009E0497">
        <w:rPr>
          <w:sz w:val="22"/>
          <w:szCs w:val="24"/>
        </w:rPr>
        <w:t xml:space="preserve">A case in point is the phenomenon of a speaker referring to shared prior knowledge of the participants of the communicative interaction. This pragmatic function can be realised by formulaic expressions such as </w:t>
      </w:r>
      <w:proofErr w:type="spellStart"/>
      <w:r w:rsidRPr="009E0497">
        <w:rPr>
          <w:i/>
          <w:sz w:val="22"/>
          <w:szCs w:val="24"/>
        </w:rPr>
        <w:t>wie</w:t>
      </w:r>
      <w:proofErr w:type="spellEnd"/>
      <w:r w:rsidRPr="009E0497">
        <w:rPr>
          <w:i/>
          <w:sz w:val="22"/>
          <w:szCs w:val="24"/>
        </w:rPr>
        <w:t xml:space="preserve"> Sie </w:t>
      </w:r>
      <w:proofErr w:type="spellStart"/>
      <w:r w:rsidRPr="009E0497">
        <w:rPr>
          <w:i/>
          <w:sz w:val="22"/>
          <w:szCs w:val="24"/>
        </w:rPr>
        <w:t>wissen</w:t>
      </w:r>
      <w:proofErr w:type="spellEnd"/>
      <w:r w:rsidRPr="009E0497">
        <w:rPr>
          <w:i/>
          <w:sz w:val="22"/>
          <w:szCs w:val="24"/>
        </w:rPr>
        <w:t xml:space="preserve"> </w:t>
      </w:r>
      <w:r w:rsidRPr="009E0497">
        <w:rPr>
          <w:sz w:val="22"/>
          <w:szCs w:val="24"/>
        </w:rPr>
        <w:t>(‘as you know’; cf. Staffeldt 2011) as well as</w:t>
      </w:r>
      <w:r w:rsidRPr="009E0497">
        <w:rPr>
          <w:i/>
          <w:sz w:val="22"/>
          <w:szCs w:val="24"/>
        </w:rPr>
        <w:t xml:space="preserve"> </w:t>
      </w:r>
      <w:r w:rsidRPr="009E0497">
        <w:rPr>
          <w:sz w:val="22"/>
          <w:szCs w:val="24"/>
        </w:rPr>
        <w:t xml:space="preserve">the German adverb </w:t>
      </w:r>
      <w:proofErr w:type="spellStart"/>
      <w:r w:rsidRPr="009E0497">
        <w:rPr>
          <w:i/>
          <w:sz w:val="22"/>
          <w:szCs w:val="24"/>
        </w:rPr>
        <w:t>bekanntlich</w:t>
      </w:r>
      <w:proofErr w:type="spellEnd"/>
      <w:r w:rsidRPr="009E0497">
        <w:rPr>
          <w:sz w:val="22"/>
          <w:szCs w:val="24"/>
        </w:rPr>
        <w:t xml:space="preserve">. The pragmatics of </w:t>
      </w:r>
      <w:proofErr w:type="spellStart"/>
      <w:r w:rsidRPr="009E0497">
        <w:rPr>
          <w:i/>
          <w:sz w:val="22"/>
          <w:szCs w:val="24"/>
        </w:rPr>
        <w:t>bekanntlich</w:t>
      </w:r>
      <w:proofErr w:type="spellEnd"/>
      <w:r w:rsidRPr="009E0497">
        <w:rPr>
          <w:i/>
          <w:sz w:val="22"/>
          <w:szCs w:val="24"/>
        </w:rPr>
        <w:t xml:space="preserve"> </w:t>
      </w:r>
      <w:r w:rsidRPr="009E0497">
        <w:rPr>
          <w:sz w:val="22"/>
          <w:szCs w:val="24"/>
        </w:rPr>
        <w:t xml:space="preserve">and its English translation equivalents will be sketched out using corpora and frame semantic annotation, proposing pragmatic frames as a tertium </w:t>
      </w:r>
      <w:proofErr w:type="spellStart"/>
      <w:r w:rsidRPr="009E0497">
        <w:rPr>
          <w:sz w:val="22"/>
          <w:szCs w:val="24"/>
        </w:rPr>
        <w:t>comparationis</w:t>
      </w:r>
      <w:proofErr w:type="spellEnd"/>
      <w:r w:rsidRPr="009E0497">
        <w:rPr>
          <w:sz w:val="22"/>
          <w:szCs w:val="24"/>
        </w:rPr>
        <w:t xml:space="preserve"> in translation analysis. The parallel corpora used to explore </w:t>
      </w:r>
      <w:proofErr w:type="spellStart"/>
      <w:r w:rsidRPr="009E0497">
        <w:rPr>
          <w:i/>
          <w:sz w:val="22"/>
          <w:szCs w:val="24"/>
        </w:rPr>
        <w:t>bekanntlich</w:t>
      </w:r>
      <w:proofErr w:type="spellEnd"/>
      <w:r w:rsidRPr="009E0497">
        <w:rPr>
          <w:i/>
          <w:sz w:val="22"/>
          <w:szCs w:val="24"/>
        </w:rPr>
        <w:t xml:space="preserve"> </w:t>
      </w:r>
      <w:r w:rsidRPr="009E0497">
        <w:rPr>
          <w:sz w:val="22"/>
          <w:szCs w:val="24"/>
        </w:rPr>
        <w:t xml:space="preserve">together with the English source language expressions it translates are DGT-TM (Steinberger et al. 2012) and </w:t>
      </w:r>
      <w:proofErr w:type="spellStart"/>
      <w:r w:rsidRPr="009E0497">
        <w:rPr>
          <w:sz w:val="22"/>
          <w:szCs w:val="24"/>
        </w:rPr>
        <w:t>Europarl</w:t>
      </w:r>
      <w:proofErr w:type="spellEnd"/>
      <w:r w:rsidRPr="009E0497">
        <w:rPr>
          <w:sz w:val="22"/>
          <w:szCs w:val="24"/>
        </w:rPr>
        <w:t xml:space="preserve"> </w:t>
      </w:r>
      <w:proofErr w:type="spellStart"/>
      <w:r w:rsidRPr="009E0497">
        <w:rPr>
          <w:sz w:val="22"/>
          <w:szCs w:val="24"/>
        </w:rPr>
        <w:t>UdS</w:t>
      </w:r>
      <w:proofErr w:type="spellEnd"/>
      <w:r w:rsidRPr="009E0497">
        <w:rPr>
          <w:sz w:val="22"/>
          <w:szCs w:val="24"/>
        </w:rPr>
        <w:t xml:space="preserve"> (</w:t>
      </w:r>
      <w:proofErr w:type="spellStart"/>
      <w:r w:rsidR="00792002" w:rsidRPr="00792002">
        <w:t>Karakanta</w:t>
      </w:r>
      <w:proofErr w:type="spellEnd"/>
      <w:r w:rsidR="00792002" w:rsidRPr="00792002">
        <w:t>/Vela/</w:t>
      </w:r>
      <w:proofErr w:type="spellStart"/>
      <w:r w:rsidR="00792002" w:rsidRPr="00792002">
        <w:t>Teich</w:t>
      </w:r>
      <w:proofErr w:type="spellEnd"/>
      <w:r w:rsidR="00792002" w:rsidRPr="00792002">
        <w:t xml:space="preserve"> 2018</w:t>
      </w:r>
      <w:r w:rsidRPr="009E0497">
        <w:rPr>
          <w:sz w:val="22"/>
          <w:szCs w:val="24"/>
        </w:rPr>
        <w:t>), both consisting of German translations of primarily or exclusively English original EU texts.</w:t>
      </w:r>
    </w:p>
    <w:p w14:paraId="2A81672F" w14:textId="69317E1F" w:rsidR="00910380" w:rsidRPr="009E0497" w:rsidRDefault="00000000">
      <w:pPr>
        <w:pStyle w:val="Keywords"/>
        <w:jc w:val="left"/>
        <w:rPr>
          <w:sz w:val="22"/>
          <w:szCs w:val="24"/>
        </w:rPr>
      </w:pPr>
      <w:r w:rsidRPr="009E0497">
        <w:rPr>
          <w:sz w:val="22"/>
          <w:szCs w:val="24"/>
        </w:rPr>
        <w:t xml:space="preserve">We follow </w:t>
      </w:r>
      <w:r w:rsidR="00792002" w:rsidRPr="00792002">
        <w:rPr>
          <w:sz w:val="22"/>
          <w:szCs w:val="24"/>
        </w:rPr>
        <w:t>(Czulo/Ziem/Torrent 2020)</w:t>
      </w:r>
      <w:r w:rsidR="00792002">
        <w:rPr>
          <w:sz w:val="22"/>
          <w:szCs w:val="24"/>
        </w:rPr>
        <w:t xml:space="preserve"> </w:t>
      </w:r>
      <w:r w:rsidRPr="009E0497">
        <w:rPr>
          <w:sz w:val="22"/>
          <w:szCs w:val="24"/>
        </w:rPr>
        <w:t xml:space="preserve">in modelling the pragmatic content of the expression by means of frames as developed in the tradition of </w:t>
      </w:r>
      <w:proofErr w:type="spellStart"/>
      <w:r w:rsidRPr="009E0497">
        <w:rPr>
          <w:sz w:val="22"/>
          <w:szCs w:val="24"/>
        </w:rPr>
        <w:t>Fillmorean</w:t>
      </w:r>
      <w:proofErr w:type="spellEnd"/>
      <w:r w:rsidRPr="009E0497">
        <w:rPr>
          <w:sz w:val="22"/>
          <w:szCs w:val="24"/>
        </w:rPr>
        <w:t xml:space="preserve"> frame semantics (1982</w:t>
      </w:r>
      <w:proofErr w:type="gramStart"/>
      <w:r w:rsidRPr="009E0497">
        <w:rPr>
          <w:sz w:val="22"/>
          <w:szCs w:val="24"/>
        </w:rPr>
        <w:t>), and</w:t>
      </w:r>
      <w:proofErr w:type="gramEnd"/>
      <w:r w:rsidRPr="009E0497">
        <w:rPr>
          <w:sz w:val="22"/>
          <w:szCs w:val="24"/>
        </w:rPr>
        <w:t xml:space="preserve"> refer to these as ‘pragmatic frames’. We assume </w:t>
      </w:r>
      <w:proofErr w:type="spellStart"/>
      <w:r w:rsidRPr="009E0497">
        <w:rPr>
          <w:i/>
          <w:sz w:val="22"/>
          <w:szCs w:val="24"/>
        </w:rPr>
        <w:t>bekanntlich</w:t>
      </w:r>
      <w:proofErr w:type="spellEnd"/>
      <w:r w:rsidRPr="009E0497">
        <w:rPr>
          <w:i/>
          <w:sz w:val="22"/>
          <w:szCs w:val="24"/>
        </w:rPr>
        <w:t xml:space="preserve"> </w:t>
      </w:r>
      <w:r w:rsidRPr="009E0497">
        <w:rPr>
          <w:sz w:val="22"/>
          <w:szCs w:val="24"/>
        </w:rPr>
        <w:t xml:space="preserve">to regularly evoke the pragmatic frame </w:t>
      </w:r>
      <w:proofErr w:type="spellStart"/>
      <w:r w:rsidRPr="009E0497">
        <w:rPr>
          <w:rFonts w:ascii="Courier New" w:hAnsi="Courier New" w:cs="Courier New"/>
          <w:sz w:val="22"/>
          <w:szCs w:val="24"/>
        </w:rPr>
        <w:t>Common_ground</w:t>
      </w:r>
      <w:proofErr w:type="spellEnd"/>
      <w:r w:rsidRPr="009E0497">
        <w:rPr>
          <w:sz w:val="22"/>
          <w:szCs w:val="24"/>
          <w:vertAlign w:val="superscript"/>
        </w:rPr>
        <w:footnoteReference w:id="1"/>
      </w:r>
      <w:r w:rsidRPr="009E0497">
        <w:rPr>
          <w:sz w:val="22"/>
          <w:szCs w:val="24"/>
        </w:rPr>
        <w:t xml:space="preserve"> that models a </w:t>
      </w:r>
      <w:r w:rsidRPr="009E0497">
        <w:rPr>
          <w:smallCaps/>
          <w:sz w:val="22"/>
          <w:szCs w:val="24"/>
        </w:rPr>
        <w:t>Speaker</w:t>
      </w:r>
      <w:r w:rsidRPr="009E0497">
        <w:rPr>
          <w:sz w:val="22"/>
          <w:szCs w:val="24"/>
        </w:rPr>
        <w:t xml:space="preserve"> claiming some </w:t>
      </w:r>
      <w:r w:rsidRPr="009E0497">
        <w:rPr>
          <w:smallCaps/>
          <w:sz w:val="22"/>
          <w:szCs w:val="24"/>
        </w:rPr>
        <w:t>Content</w:t>
      </w:r>
      <w:r w:rsidRPr="009E0497">
        <w:rPr>
          <w:sz w:val="22"/>
          <w:szCs w:val="24"/>
        </w:rPr>
        <w:t xml:space="preserve"> to be prior knowledge (with degrees of </w:t>
      </w:r>
      <w:r w:rsidRPr="009E0497">
        <w:rPr>
          <w:smallCaps/>
          <w:sz w:val="22"/>
          <w:szCs w:val="24"/>
        </w:rPr>
        <w:t>Familiarity</w:t>
      </w:r>
      <w:r w:rsidRPr="009E0497">
        <w:rPr>
          <w:sz w:val="22"/>
          <w:szCs w:val="24"/>
        </w:rPr>
        <w:t xml:space="preserve">) shared by the </w:t>
      </w:r>
      <w:proofErr w:type="spellStart"/>
      <w:r w:rsidRPr="009E0497">
        <w:rPr>
          <w:smallCaps/>
          <w:sz w:val="22"/>
          <w:szCs w:val="24"/>
        </w:rPr>
        <w:t>Cognizers</w:t>
      </w:r>
      <w:proofErr w:type="spellEnd"/>
      <w:r w:rsidRPr="009E0497">
        <w:rPr>
          <w:sz w:val="22"/>
          <w:szCs w:val="24"/>
        </w:rPr>
        <w:t xml:space="preserve">. Those are participants of the communicative interaction and necessarily include the utterance’s addressee(s). The expressions evoking this frame differ with respect to which of these frame elements are realised in the text: most importantly, the </w:t>
      </w:r>
      <w:proofErr w:type="spellStart"/>
      <w:r w:rsidRPr="009E0497">
        <w:rPr>
          <w:smallCaps/>
          <w:sz w:val="22"/>
          <w:szCs w:val="24"/>
        </w:rPr>
        <w:t>Cognizers</w:t>
      </w:r>
      <w:proofErr w:type="spellEnd"/>
      <w:r w:rsidRPr="009E0497">
        <w:rPr>
          <w:sz w:val="22"/>
          <w:szCs w:val="24"/>
        </w:rPr>
        <w:t xml:space="preserve"> may be lexically specified, commonly by deictic person reference especially with </w:t>
      </w:r>
      <w:proofErr w:type="spellStart"/>
      <w:r w:rsidRPr="009E0497">
        <w:rPr>
          <w:i/>
          <w:sz w:val="22"/>
          <w:szCs w:val="24"/>
        </w:rPr>
        <w:t>wie</w:t>
      </w:r>
      <w:proofErr w:type="spellEnd"/>
      <w:r w:rsidRPr="009E0497">
        <w:rPr>
          <w:i/>
          <w:sz w:val="22"/>
          <w:szCs w:val="24"/>
        </w:rPr>
        <w:t xml:space="preserve"> </w:t>
      </w:r>
      <w:proofErr w:type="spellStart"/>
      <w:r w:rsidRPr="009E0497">
        <w:rPr>
          <w:i/>
          <w:sz w:val="22"/>
          <w:szCs w:val="24"/>
        </w:rPr>
        <w:t>wir</w:t>
      </w:r>
      <w:proofErr w:type="spellEnd"/>
      <w:r w:rsidRPr="009E0497">
        <w:rPr>
          <w:i/>
          <w:sz w:val="22"/>
          <w:szCs w:val="24"/>
        </w:rPr>
        <w:t xml:space="preserve">/Sie/alle </w:t>
      </w:r>
      <w:proofErr w:type="spellStart"/>
      <w:r w:rsidRPr="009E0497">
        <w:rPr>
          <w:i/>
          <w:sz w:val="22"/>
          <w:szCs w:val="24"/>
        </w:rPr>
        <w:t>wissen</w:t>
      </w:r>
      <w:proofErr w:type="spellEnd"/>
      <w:r w:rsidRPr="009E0497">
        <w:rPr>
          <w:i/>
          <w:sz w:val="22"/>
          <w:szCs w:val="24"/>
        </w:rPr>
        <w:t xml:space="preserve"> (as we/you/everybody know(s)</w:t>
      </w:r>
      <w:proofErr w:type="gramStart"/>
      <w:r w:rsidRPr="009E0497">
        <w:rPr>
          <w:i/>
          <w:sz w:val="22"/>
          <w:szCs w:val="24"/>
        </w:rPr>
        <w:t xml:space="preserve">), </w:t>
      </w:r>
      <w:r w:rsidRPr="009E0497">
        <w:rPr>
          <w:sz w:val="22"/>
          <w:szCs w:val="24"/>
        </w:rPr>
        <w:t>or</w:t>
      </w:r>
      <w:proofErr w:type="gramEnd"/>
      <w:r w:rsidRPr="009E0497">
        <w:rPr>
          <w:sz w:val="22"/>
          <w:szCs w:val="24"/>
        </w:rPr>
        <w:t xml:space="preserve"> left to be inferred from the communicative context as is the case with </w:t>
      </w:r>
      <w:proofErr w:type="spellStart"/>
      <w:r w:rsidRPr="009E0497">
        <w:rPr>
          <w:i/>
          <w:sz w:val="22"/>
          <w:szCs w:val="24"/>
        </w:rPr>
        <w:t>bekanntlich</w:t>
      </w:r>
      <w:proofErr w:type="spellEnd"/>
      <w:r w:rsidRPr="009E0497">
        <w:rPr>
          <w:i/>
          <w:sz w:val="22"/>
          <w:szCs w:val="24"/>
        </w:rPr>
        <w:t>.</w:t>
      </w:r>
    </w:p>
    <w:p w14:paraId="41602EF2" w14:textId="77777777" w:rsidR="00910380" w:rsidRDefault="00000000">
      <w:pPr>
        <w:pStyle w:val="Keywords"/>
        <w:jc w:val="left"/>
        <w:rPr>
          <w:sz w:val="22"/>
          <w:szCs w:val="24"/>
        </w:rPr>
      </w:pPr>
      <w:r w:rsidRPr="009E0497">
        <w:rPr>
          <w:sz w:val="22"/>
          <w:szCs w:val="24"/>
        </w:rPr>
        <w:t>Comparing the</w:t>
      </w:r>
      <w:r w:rsidRPr="009E0497">
        <w:rPr>
          <w:i/>
          <w:sz w:val="22"/>
          <w:szCs w:val="24"/>
        </w:rPr>
        <w:t xml:space="preserve"> </w:t>
      </w:r>
      <w:r w:rsidRPr="009E0497">
        <w:rPr>
          <w:sz w:val="22"/>
          <w:szCs w:val="24"/>
        </w:rPr>
        <w:t xml:space="preserve">English source language equivalents of </w:t>
      </w:r>
      <w:proofErr w:type="spellStart"/>
      <w:r w:rsidRPr="009E0497">
        <w:rPr>
          <w:i/>
          <w:sz w:val="22"/>
          <w:szCs w:val="24"/>
        </w:rPr>
        <w:t>bekanntlich</w:t>
      </w:r>
      <w:proofErr w:type="spellEnd"/>
      <w:r w:rsidRPr="009E0497">
        <w:rPr>
          <w:i/>
          <w:sz w:val="22"/>
          <w:szCs w:val="24"/>
        </w:rPr>
        <w:t xml:space="preserve"> </w:t>
      </w:r>
      <w:r w:rsidRPr="009E0497">
        <w:rPr>
          <w:sz w:val="22"/>
          <w:szCs w:val="24"/>
        </w:rPr>
        <w:t xml:space="preserve">across the two corpora reflecting different registers, it appears that in </w:t>
      </w:r>
      <w:proofErr w:type="spellStart"/>
      <w:r w:rsidRPr="009E0497">
        <w:rPr>
          <w:sz w:val="22"/>
          <w:szCs w:val="24"/>
        </w:rPr>
        <w:t>Europarl</w:t>
      </w:r>
      <w:proofErr w:type="spellEnd"/>
      <w:r w:rsidRPr="009E0497">
        <w:rPr>
          <w:sz w:val="22"/>
          <w:szCs w:val="24"/>
        </w:rPr>
        <w:t xml:space="preserve"> </w:t>
      </w:r>
      <w:proofErr w:type="spellStart"/>
      <w:r w:rsidRPr="009E0497">
        <w:rPr>
          <w:sz w:val="22"/>
          <w:szCs w:val="24"/>
        </w:rPr>
        <w:t>UdS</w:t>
      </w:r>
      <w:proofErr w:type="spellEnd"/>
      <w:r w:rsidRPr="009E0497">
        <w:rPr>
          <w:sz w:val="22"/>
          <w:szCs w:val="24"/>
        </w:rPr>
        <w:t xml:space="preserve">, the participants of the communicative interaction are </w:t>
      </w:r>
      <w:proofErr w:type="gramStart"/>
      <w:r w:rsidRPr="009E0497">
        <w:rPr>
          <w:sz w:val="22"/>
          <w:szCs w:val="24"/>
        </w:rPr>
        <w:t>more often than not</w:t>
      </w:r>
      <w:proofErr w:type="gramEnd"/>
      <w:r w:rsidRPr="009E0497">
        <w:rPr>
          <w:sz w:val="22"/>
          <w:szCs w:val="24"/>
        </w:rPr>
        <w:t xml:space="preserve"> lexically realised (1). In DGT-TM and </w:t>
      </w:r>
      <w:r w:rsidRPr="009E0497">
        <w:rPr>
          <w:sz w:val="22"/>
          <w:szCs w:val="24"/>
        </w:rPr>
        <w:lastRenderedPageBreak/>
        <w:t xml:space="preserve">the minority of cases in </w:t>
      </w:r>
      <w:proofErr w:type="spellStart"/>
      <w:r w:rsidRPr="009E0497">
        <w:rPr>
          <w:sz w:val="22"/>
          <w:szCs w:val="24"/>
        </w:rPr>
        <w:t>Europarl</w:t>
      </w:r>
      <w:proofErr w:type="spellEnd"/>
      <w:r w:rsidRPr="009E0497">
        <w:rPr>
          <w:sz w:val="22"/>
          <w:szCs w:val="24"/>
        </w:rPr>
        <w:t xml:space="preserve"> </w:t>
      </w:r>
      <w:proofErr w:type="spellStart"/>
      <w:r w:rsidRPr="009E0497">
        <w:rPr>
          <w:sz w:val="22"/>
          <w:szCs w:val="24"/>
        </w:rPr>
        <w:t>UdS</w:t>
      </w:r>
      <w:proofErr w:type="spellEnd"/>
      <w:r w:rsidRPr="009E0497">
        <w:rPr>
          <w:sz w:val="22"/>
          <w:szCs w:val="24"/>
        </w:rPr>
        <w:t xml:space="preserve">, however, the </w:t>
      </w:r>
      <w:proofErr w:type="spellStart"/>
      <w:r w:rsidRPr="009E0497">
        <w:rPr>
          <w:smallCaps/>
          <w:sz w:val="22"/>
          <w:szCs w:val="24"/>
        </w:rPr>
        <w:t>Cognizers</w:t>
      </w:r>
      <w:proofErr w:type="spellEnd"/>
      <w:r w:rsidRPr="009E0497">
        <w:rPr>
          <w:sz w:val="22"/>
          <w:szCs w:val="24"/>
        </w:rPr>
        <w:t xml:space="preserve"> remain implicit and what is most interesting, do not seem to include the addressee ((2)-(3)). Instead, the </w:t>
      </w:r>
      <w:proofErr w:type="spellStart"/>
      <w:r w:rsidRPr="009E0497">
        <w:rPr>
          <w:smallCaps/>
          <w:sz w:val="22"/>
          <w:szCs w:val="24"/>
        </w:rPr>
        <w:t>Cognizers</w:t>
      </w:r>
      <w:proofErr w:type="spellEnd"/>
      <w:r w:rsidRPr="009E0497">
        <w:rPr>
          <w:sz w:val="22"/>
          <w:szCs w:val="24"/>
        </w:rPr>
        <w:t xml:space="preserve"> can (contextually) be inferred to coincide with the </w:t>
      </w:r>
      <w:r w:rsidRPr="009E0497">
        <w:rPr>
          <w:smallCaps/>
          <w:sz w:val="22"/>
          <w:szCs w:val="24"/>
        </w:rPr>
        <w:t>Speaker</w:t>
      </w:r>
      <w:r w:rsidRPr="009E0497">
        <w:rPr>
          <w:sz w:val="22"/>
          <w:szCs w:val="24"/>
        </w:rPr>
        <w:t xml:space="preserve">, with the translation pair </w:t>
      </w:r>
      <w:r w:rsidRPr="009E0497">
        <w:rPr>
          <w:i/>
          <w:sz w:val="22"/>
          <w:szCs w:val="24"/>
        </w:rPr>
        <w:t xml:space="preserve">(is/are) known – </w:t>
      </w:r>
      <w:proofErr w:type="spellStart"/>
      <w:r w:rsidRPr="009E0497">
        <w:rPr>
          <w:i/>
          <w:sz w:val="22"/>
          <w:szCs w:val="24"/>
        </w:rPr>
        <w:t>bekanntlich</w:t>
      </w:r>
      <w:proofErr w:type="spellEnd"/>
      <w:r w:rsidRPr="009E0497">
        <w:rPr>
          <w:i/>
          <w:sz w:val="22"/>
          <w:szCs w:val="24"/>
        </w:rPr>
        <w:t xml:space="preserve"> </w:t>
      </w:r>
      <w:r w:rsidRPr="009E0497">
        <w:rPr>
          <w:sz w:val="22"/>
          <w:szCs w:val="24"/>
        </w:rPr>
        <w:t>(4)</w:t>
      </w:r>
      <w:r w:rsidRPr="009E0497">
        <w:rPr>
          <w:i/>
          <w:sz w:val="22"/>
          <w:szCs w:val="24"/>
        </w:rPr>
        <w:t xml:space="preserve"> </w:t>
      </w:r>
      <w:r w:rsidRPr="009E0497">
        <w:rPr>
          <w:sz w:val="22"/>
          <w:szCs w:val="24"/>
        </w:rPr>
        <w:t xml:space="preserve">expressing that the Speaker is aware of some fact. This usage of </w:t>
      </w:r>
      <w:proofErr w:type="spellStart"/>
      <w:r w:rsidRPr="009E0497">
        <w:rPr>
          <w:i/>
          <w:sz w:val="22"/>
          <w:szCs w:val="24"/>
        </w:rPr>
        <w:t>bekanntlich</w:t>
      </w:r>
      <w:proofErr w:type="spellEnd"/>
      <w:r w:rsidRPr="009E0497">
        <w:rPr>
          <w:i/>
          <w:sz w:val="22"/>
          <w:szCs w:val="24"/>
        </w:rPr>
        <w:t xml:space="preserve"> </w:t>
      </w:r>
      <w:r w:rsidRPr="009E0497">
        <w:rPr>
          <w:sz w:val="22"/>
          <w:szCs w:val="24"/>
        </w:rPr>
        <w:t xml:space="preserve">is motivated semantically rather than pragmatically and can be found to evoke the lexical-semantic frame </w:t>
      </w:r>
      <w:proofErr w:type="spellStart"/>
      <w:r w:rsidRPr="009E0497">
        <w:rPr>
          <w:rFonts w:ascii="Courier New" w:hAnsi="Courier New" w:cs="Courier New"/>
          <w:sz w:val="22"/>
          <w:szCs w:val="24"/>
        </w:rPr>
        <w:t>Awareness_status</w:t>
      </w:r>
      <w:proofErr w:type="spellEnd"/>
      <w:r w:rsidRPr="009E0497">
        <w:rPr>
          <w:sz w:val="22"/>
          <w:szCs w:val="24"/>
        </w:rPr>
        <w:t xml:space="preserve">. It could be assumed that this divergence in pragmatic versus semantic use is an influence of the source text. This assumption will be tested by contrasting the findings to the uses of </w:t>
      </w:r>
      <w:proofErr w:type="spellStart"/>
      <w:r w:rsidRPr="009E0497">
        <w:rPr>
          <w:i/>
          <w:sz w:val="22"/>
          <w:szCs w:val="24"/>
        </w:rPr>
        <w:t>bekanntlich</w:t>
      </w:r>
      <w:proofErr w:type="spellEnd"/>
      <w:r w:rsidRPr="009E0497">
        <w:rPr>
          <w:sz w:val="22"/>
          <w:szCs w:val="24"/>
        </w:rPr>
        <w:t xml:space="preserve"> in German original legal language.</w:t>
      </w:r>
    </w:p>
    <w:p w14:paraId="21F5CE96" w14:textId="77777777" w:rsidR="00910380" w:rsidRDefault="00000000">
      <w:pPr>
        <w:pStyle w:val="berschrift1"/>
      </w:pPr>
      <w:r>
        <w:t>Examples</w:t>
      </w:r>
    </w:p>
    <w:p w14:paraId="6E030DB5" w14:textId="77777777" w:rsidR="00910380" w:rsidRDefault="00000000">
      <w:pPr>
        <w:pStyle w:val="OL3ptseparator"/>
        <w:tabs>
          <w:tab w:val="left" w:pos="567"/>
          <w:tab w:val="left" w:pos="993"/>
        </w:tabs>
        <w:ind w:left="993" w:hanging="993"/>
        <w:rPr>
          <w:rFonts w:eastAsia="Calibri"/>
          <w:bCs/>
        </w:rPr>
      </w:pPr>
      <w:proofErr w:type="spellStart"/>
      <w:r>
        <w:rPr>
          <w:rFonts w:eastAsia="Calibri"/>
          <w:bCs/>
        </w:rPr>
        <w:t>Europarl</w:t>
      </w:r>
      <w:proofErr w:type="spellEnd"/>
      <w:r>
        <w:rPr>
          <w:rFonts w:eastAsia="Calibri"/>
          <w:bCs/>
        </w:rPr>
        <w:t xml:space="preserve"> </w:t>
      </w:r>
      <w:proofErr w:type="spellStart"/>
      <w:r>
        <w:rPr>
          <w:rFonts w:eastAsia="Calibri"/>
          <w:bCs/>
        </w:rPr>
        <w:t>UdS</w:t>
      </w:r>
      <w:proofErr w:type="spellEnd"/>
    </w:p>
    <w:p w14:paraId="0631C1F5" w14:textId="77777777" w:rsidR="00910380" w:rsidRPr="009E0497" w:rsidRDefault="00000000">
      <w:pPr>
        <w:pStyle w:val="OL3ptseparator"/>
        <w:tabs>
          <w:tab w:val="left" w:pos="567"/>
          <w:tab w:val="left" w:pos="993"/>
        </w:tabs>
        <w:ind w:left="993" w:hanging="993"/>
        <w:rPr>
          <w:sz w:val="20"/>
          <w:szCs w:val="20"/>
        </w:rPr>
      </w:pPr>
      <w:r w:rsidRPr="009E0497">
        <w:rPr>
          <w:rFonts w:eastAsia="Calibri"/>
          <w:sz w:val="20"/>
          <w:szCs w:val="20"/>
        </w:rPr>
        <w:t xml:space="preserve">(1) </w:t>
      </w:r>
      <w:r w:rsidRPr="009E0497">
        <w:rPr>
          <w:rFonts w:eastAsia="Calibri"/>
          <w:sz w:val="20"/>
          <w:szCs w:val="20"/>
        </w:rPr>
        <w:tab/>
        <w:t>a.</w:t>
      </w:r>
      <w:r w:rsidRPr="009E0497">
        <w:rPr>
          <w:rFonts w:eastAsia="Calibri"/>
          <w:sz w:val="20"/>
          <w:szCs w:val="20"/>
        </w:rPr>
        <w:tab/>
        <w:t xml:space="preserve">Eventually they will be competing directly with the US for ever-diminishing supplies, which is a forbidding thought and, </w:t>
      </w:r>
      <w:r w:rsidRPr="009E0497">
        <w:rPr>
          <w:rFonts w:eastAsia="Calibri"/>
          <w:sz w:val="20"/>
          <w:szCs w:val="20"/>
          <w:u w:val="single"/>
        </w:rPr>
        <w:t>as we know</w:t>
      </w:r>
      <w:r w:rsidRPr="009E0497">
        <w:rPr>
          <w:rFonts w:eastAsia="Calibri"/>
          <w:sz w:val="20"/>
          <w:szCs w:val="20"/>
        </w:rPr>
        <w:t>, fossil fuels are running out very quickly.</w:t>
      </w:r>
    </w:p>
    <w:p w14:paraId="3DEA8861" w14:textId="77777777" w:rsidR="00910380" w:rsidRPr="009E0497" w:rsidRDefault="00000000">
      <w:pPr>
        <w:pStyle w:val="OL3ptseparator"/>
        <w:tabs>
          <w:tab w:val="left" w:pos="567"/>
          <w:tab w:val="left" w:pos="993"/>
        </w:tabs>
        <w:ind w:left="993" w:hanging="993"/>
        <w:rPr>
          <w:sz w:val="20"/>
          <w:szCs w:val="20"/>
          <w:lang w:val="de-DE"/>
        </w:rPr>
      </w:pPr>
      <w:r w:rsidRPr="009E0497">
        <w:rPr>
          <w:rFonts w:eastAsia="Calibri"/>
          <w:sz w:val="20"/>
          <w:szCs w:val="20"/>
        </w:rPr>
        <w:tab/>
      </w:r>
      <w:r w:rsidRPr="009E0497">
        <w:rPr>
          <w:rFonts w:eastAsia="Calibri"/>
          <w:sz w:val="20"/>
          <w:szCs w:val="20"/>
          <w:lang w:val="de-DE"/>
        </w:rPr>
        <w:t>b.</w:t>
      </w:r>
      <w:r w:rsidRPr="009E0497">
        <w:rPr>
          <w:rFonts w:eastAsia="Calibri"/>
          <w:sz w:val="20"/>
          <w:szCs w:val="20"/>
          <w:lang w:val="de-DE"/>
        </w:rPr>
        <w:tab/>
        <w:t xml:space="preserve">Irgendwann wird sich China mit Amerika um die immer knapper werdenden Vorräte streiten, was nicht gerade ein beruhigender Gedanke ist, zumal die fossilen Brennstoffe </w:t>
      </w:r>
      <w:r w:rsidRPr="009E0497">
        <w:rPr>
          <w:rFonts w:eastAsia="Calibri"/>
          <w:bCs/>
          <w:sz w:val="20"/>
          <w:szCs w:val="20"/>
          <w:u w:val="single"/>
          <w:lang w:val="de-DE"/>
        </w:rPr>
        <w:t>bekanntlich</w:t>
      </w:r>
      <w:r w:rsidRPr="009E0497">
        <w:rPr>
          <w:rFonts w:eastAsia="Calibri"/>
          <w:sz w:val="20"/>
          <w:szCs w:val="20"/>
          <w:lang w:val="de-DE"/>
        </w:rPr>
        <w:t xml:space="preserve"> rasch zur Neige gehen.</w:t>
      </w:r>
    </w:p>
    <w:p w14:paraId="697EC9CD" w14:textId="77777777" w:rsidR="00910380" w:rsidRDefault="00000000">
      <w:pPr>
        <w:pStyle w:val="OL3ptseparator"/>
        <w:tabs>
          <w:tab w:val="left" w:pos="567"/>
          <w:tab w:val="left" w:pos="993"/>
        </w:tabs>
        <w:ind w:left="993" w:hanging="993"/>
      </w:pPr>
      <w:r>
        <w:rPr>
          <w:rFonts w:eastAsia="Calibri"/>
          <w:bCs/>
        </w:rPr>
        <w:t>DGT-TM</w:t>
      </w:r>
    </w:p>
    <w:p w14:paraId="4010B223" w14:textId="77777777" w:rsidR="00910380" w:rsidRPr="009E0497" w:rsidRDefault="00000000">
      <w:pPr>
        <w:pStyle w:val="OL3ptseparator"/>
        <w:tabs>
          <w:tab w:val="left" w:pos="567"/>
          <w:tab w:val="left" w:pos="993"/>
        </w:tabs>
        <w:ind w:left="993" w:hanging="993"/>
        <w:rPr>
          <w:sz w:val="20"/>
          <w:szCs w:val="20"/>
        </w:rPr>
      </w:pPr>
      <w:r w:rsidRPr="009E0497">
        <w:rPr>
          <w:rFonts w:eastAsia="Calibri"/>
          <w:sz w:val="20"/>
          <w:szCs w:val="20"/>
        </w:rPr>
        <w:t xml:space="preserve">(2) </w:t>
      </w:r>
      <w:r w:rsidRPr="009E0497">
        <w:rPr>
          <w:rFonts w:eastAsia="Calibri"/>
          <w:sz w:val="20"/>
          <w:szCs w:val="20"/>
        </w:rPr>
        <w:tab/>
        <w:t>a.</w:t>
      </w:r>
      <w:r w:rsidRPr="009E0497">
        <w:rPr>
          <w:rFonts w:eastAsia="Calibri"/>
          <w:sz w:val="20"/>
          <w:szCs w:val="20"/>
        </w:rPr>
        <w:tab/>
      </w:r>
      <w:r w:rsidRPr="009E0497">
        <w:rPr>
          <w:rFonts w:eastAsia="Calibri"/>
          <w:bCs/>
          <w:sz w:val="20"/>
          <w:szCs w:val="20"/>
          <w:u w:val="single"/>
        </w:rPr>
        <w:t>It is recalled</w:t>
      </w:r>
      <w:r w:rsidRPr="009E0497">
        <w:rPr>
          <w:rFonts w:eastAsia="Calibri"/>
          <w:bCs/>
          <w:sz w:val="20"/>
          <w:szCs w:val="20"/>
        </w:rPr>
        <w:t xml:space="preserve"> that</w:t>
      </w:r>
      <w:r w:rsidRPr="009E0497">
        <w:rPr>
          <w:rFonts w:eastAsia="Calibri"/>
          <w:sz w:val="20"/>
          <w:szCs w:val="20"/>
        </w:rPr>
        <w:t xml:space="preserve"> the authorities in Laos as well as potential producers/exporters in this country were informed of the ongoing investigation.</w:t>
      </w:r>
    </w:p>
    <w:p w14:paraId="5B8EBB6F" w14:textId="77777777" w:rsidR="00910380" w:rsidRPr="009E0497" w:rsidRDefault="00000000">
      <w:pPr>
        <w:pStyle w:val="OL3ptseparator"/>
        <w:tabs>
          <w:tab w:val="left" w:pos="567"/>
          <w:tab w:val="left" w:pos="993"/>
        </w:tabs>
        <w:ind w:left="993" w:hanging="993"/>
        <w:rPr>
          <w:sz w:val="20"/>
          <w:szCs w:val="20"/>
          <w:lang w:val="de-DE"/>
        </w:rPr>
      </w:pPr>
      <w:r w:rsidRPr="009E0497">
        <w:rPr>
          <w:rFonts w:eastAsia="Calibri"/>
          <w:bCs/>
          <w:sz w:val="20"/>
          <w:szCs w:val="20"/>
        </w:rPr>
        <w:tab/>
      </w:r>
      <w:r w:rsidRPr="009E0497">
        <w:rPr>
          <w:rFonts w:eastAsia="Calibri"/>
          <w:bCs/>
          <w:sz w:val="20"/>
          <w:szCs w:val="20"/>
          <w:lang w:val="de-DE"/>
        </w:rPr>
        <w:t>b.</w:t>
      </w:r>
      <w:r w:rsidRPr="009E0497">
        <w:rPr>
          <w:rFonts w:eastAsia="Calibri"/>
          <w:bCs/>
          <w:sz w:val="20"/>
          <w:szCs w:val="20"/>
          <w:lang w:val="de-DE"/>
        </w:rPr>
        <w:tab/>
      </w:r>
      <w:r w:rsidRPr="009E0497">
        <w:rPr>
          <w:rFonts w:eastAsia="Calibri"/>
          <w:bCs/>
          <w:sz w:val="20"/>
          <w:szCs w:val="20"/>
          <w:u w:val="single"/>
          <w:lang w:val="de-DE"/>
        </w:rPr>
        <w:t>Bekanntlich</w:t>
      </w:r>
      <w:r w:rsidRPr="009E0497">
        <w:rPr>
          <w:rFonts w:eastAsia="Calibri"/>
          <w:sz w:val="20"/>
          <w:szCs w:val="20"/>
          <w:lang w:val="de-DE"/>
        </w:rPr>
        <w:t xml:space="preserve"> wurden die laotischen Behörden sowie potenzielle Hersteller/Ausführer in Laos von der laufenden Untersuchung in Kenntnis gesetzt.</w:t>
      </w:r>
    </w:p>
    <w:p w14:paraId="0DB97F8C" w14:textId="77777777" w:rsidR="00910380" w:rsidRPr="009E0497" w:rsidRDefault="00000000">
      <w:pPr>
        <w:pStyle w:val="OL3ptseparator"/>
        <w:tabs>
          <w:tab w:val="left" w:pos="567"/>
          <w:tab w:val="left" w:pos="993"/>
        </w:tabs>
        <w:ind w:left="993" w:hanging="993"/>
        <w:rPr>
          <w:sz w:val="20"/>
          <w:szCs w:val="20"/>
        </w:rPr>
      </w:pPr>
      <w:r w:rsidRPr="009E0497">
        <w:rPr>
          <w:rFonts w:eastAsia="Calibri"/>
          <w:sz w:val="20"/>
          <w:szCs w:val="20"/>
        </w:rPr>
        <w:t xml:space="preserve">(3) </w:t>
      </w:r>
      <w:r w:rsidRPr="009E0497">
        <w:rPr>
          <w:rFonts w:eastAsia="Calibri"/>
          <w:sz w:val="20"/>
          <w:szCs w:val="20"/>
        </w:rPr>
        <w:tab/>
        <w:t>a.</w:t>
      </w:r>
      <w:r w:rsidRPr="009E0497">
        <w:rPr>
          <w:rFonts w:eastAsia="Calibri"/>
          <w:sz w:val="20"/>
          <w:szCs w:val="20"/>
        </w:rPr>
        <w:tab/>
      </w:r>
      <w:r w:rsidRPr="009E0497">
        <w:rPr>
          <w:rFonts w:eastAsia="Calibri"/>
          <w:sz w:val="20"/>
          <w:szCs w:val="20"/>
          <w:u w:val="single"/>
        </w:rPr>
        <w:t>It is known</w:t>
      </w:r>
      <w:r w:rsidRPr="009E0497">
        <w:rPr>
          <w:rFonts w:eastAsia="Calibri"/>
          <w:sz w:val="20"/>
          <w:szCs w:val="20"/>
        </w:rPr>
        <w:t xml:space="preserve"> that that nomenclature does not cover all special export refund </w:t>
      </w:r>
      <w:proofErr w:type="gramStart"/>
      <w:r w:rsidRPr="009E0497">
        <w:rPr>
          <w:rFonts w:eastAsia="Calibri"/>
          <w:sz w:val="20"/>
          <w:szCs w:val="20"/>
        </w:rPr>
        <w:t>cases</w:t>
      </w:r>
      <w:proofErr w:type="gramEnd"/>
      <w:r w:rsidRPr="009E0497">
        <w:rPr>
          <w:rFonts w:eastAsia="Calibri"/>
          <w:sz w:val="20"/>
          <w:szCs w:val="20"/>
        </w:rPr>
        <w:t xml:space="preserve"> but the Commission does not require that kind of detail.</w:t>
      </w:r>
    </w:p>
    <w:p w14:paraId="205ED8C1" w14:textId="77777777" w:rsidR="00910380" w:rsidRPr="009E0497" w:rsidRDefault="00000000">
      <w:pPr>
        <w:pStyle w:val="OL3ptseparator"/>
        <w:tabs>
          <w:tab w:val="left" w:pos="567"/>
          <w:tab w:val="left" w:pos="993"/>
        </w:tabs>
        <w:ind w:left="993" w:hanging="993"/>
        <w:rPr>
          <w:sz w:val="20"/>
          <w:szCs w:val="20"/>
          <w:lang w:val="de-DE"/>
        </w:rPr>
      </w:pPr>
      <w:r w:rsidRPr="009E0497">
        <w:rPr>
          <w:rFonts w:eastAsia="Calibri"/>
          <w:sz w:val="20"/>
          <w:szCs w:val="20"/>
        </w:rPr>
        <w:tab/>
      </w:r>
      <w:r w:rsidRPr="009E0497">
        <w:rPr>
          <w:rFonts w:eastAsia="Calibri"/>
          <w:sz w:val="20"/>
          <w:szCs w:val="20"/>
          <w:lang w:val="de-DE"/>
        </w:rPr>
        <w:t>b.</w:t>
      </w:r>
      <w:r w:rsidRPr="009E0497">
        <w:rPr>
          <w:rFonts w:eastAsia="Calibri"/>
          <w:sz w:val="20"/>
          <w:szCs w:val="20"/>
          <w:lang w:val="de-DE"/>
        </w:rPr>
        <w:tab/>
        <w:t xml:space="preserve">In diesem Verzeichnis sind </w:t>
      </w:r>
      <w:r w:rsidRPr="009E0497">
        <w:rPr>
          <w:rFonts w:eastAsia="Calibri"/>
          <w:sz w:val="20"/>
          <w:szCs w:val="20"/>
          <w:u w:val="single"/>
          <w:lang w:val="de-DE"/>
        </w:rPr>
        <w:t>bekanntlich</w:t>
      </w:r>
      <w:r w:rsidRPr="009E0497">
        <w:rPr>
          <w:rFonts w:eastAsia="Calibri"/>
          <w:sz w:val="20"/>
          <w:szCs w:val="20"/>
          <w:lang w:val="de-DE"/>
        </w:rPr>
        <w:t xml:space="preserve"> nicht alle Sonderfälle bei den Ausfuhrerstattungen abgedeckt, die Kommission benötigt diese Details jedoch nicht.</w:t>
      </w:r>
    </w:p>
    <w:p w14:paraId="43385A93" w14:textId="77777777" w:rsidR="00910380" w:rsidRDefault="00000000">
      <w:pPr>
        <w:pStyle w:val="BibliographyHeading"/>
      </w:pPr>
      <w:r>
        <w:t>References</w:t>
      </w:r>
    </w:p>
    <w:p w14:paraId="63F7865A" w14:textId="77777777" w:rsidR="00910380" w:rsidRDefault="00000000" w:rsidP="00792002">
      <w:pPr>
        <w:spacing w:before="0" w:line="276" w:lineRule="auto"/>
        <w:ind w:left="426" w:hanging="426"/>
        <w:jc w:val="left"/>
        <w:textAlignment w:val="auto"/>
        <w:rPr>
          <w:rFonts w:eastAsia="Times New Roman" w:cs="Times New Roman"/>
          <w:sz w:val="19"/>
          <w:szCs w:val="19"/>
          <w:lang w:eastAsia="de-DE"/>
        </w:rPr>
      </w:pPr>
      <w:r>
        <w:rPr>
          <w:rFonts w:eastAsia="Times New Roman" w:cs="Times New Roman"/>
          <w:sz w:val="19"/>
          <w:szCs w:val="19"/>
          <w:lang w:eastAsia="de-DE"/>
        </w:rPr>
        <w:t xml:space="preserve">Czulo, Oliver/Ziem, Alexander/Torrent, Tiago </w:t>
      </w:r>
      <w:proofErr w:type="spellStart"/>
      <w:r>
        <w:rPr>
          <w:rFonts w:eastAsia="Times New Roman" w:cs="Times New Roman"/>
          <w:sz w:val="19"/>
          <w:szCs w:val="19"/>
          <w:lang w:eastAsia="de-DE"/>
        </w:rPr>
        <w:t>Timponi</w:t>
      </w:r>
      <w:proofErr w:type="spellEnd"/>
      <w:r>
        <w:rPr>
          <w:rFonts w:eastAsia="Times New Roman" w:cs="Times New Roman"/>
          <w:sz w:val="19"/>
          <w:szCs w:val="19"/>
          <w:lang w:eastAsia="de-DE"/>
        </w:rPr>
        <w:t xml:space="preserve"> (2020): Beyond lexical semantic frames: notes on pragmatic frames. In: Torrent, Tiago </w:t>
      </w:r>
      <w:proofErr w:type="spellStart"/>
      <w:r>
        <w:rPr>
          <w:rFonts w:eastAsia="Times New Roman" w:cs="Times New Roman"/>
          <w:sz w:val="19"/>
          <w:szCs w:val="19"/>
          <w:lang w:eastAsia="de-DE"/>
        </w:rPr>
        <w:t>Timponi</w:t>
      </w:r>
      <w:proofErr w:type="spellEnd"/>
      <w:r>
        <w:rPr>
          <w:rFonts w:eastAsia="Times New Roman" w:cs="Times New Roman"/>
          <w:sz w:val="19"/>
          <w:szCs w:val="19"/>
          <w:lang w:eastAsia="de-DE"/>
        </w:rPr>
        <w:t>/Baker, Collin/Czulo, Oliver/Ohara, Kyoko/</w:t>
      </w:r>
      <w:proofErr w:type="spellStart"/>
      <w:r>
        <w:rPr>
          <w:rFonts w:eastAsia="Times New Roman" w:cs="Times New Roman"/>
          <w:sz w:val="19"/>
          <w:szCs w:val="19"/>
          <w:lang w:eastAsia="de-DE"/>
        </w:rPr>
        <w:t>Petruck</w:t>
      </w:r>
      <w:proofErr w:type="spellEnd"/>
      <w:r>
        <w:rPr>
          <w:rFonts w:eastAsia="Times New Roman" w:cs="Times New Roman"/>
          <w:sz w:val="19"/>
          <w:szCs w:val="19"/>
          <w:lang w:eastAsia="de-DE"/>
        </w:rPr>
        <w:t xml:space="preserve">, Miriam (eds.): Towards a global, multilingual </w:t>
      </w:r>
      <w:proofErr w:type="spellStart"/>
      <w:r>
        <w:rPr>
          <w:rFonts w:eastAsia="Times New Roman" w:cs="Times New Roman"/>
          <w:sz w:val="19"/>
          <w:szCs w:val="19"/>
          <w:lang w:eastAsia="de-DE"/>
        </w:rPr>
        <w:t>FrameNet</w:t>
      </w:r>
      <w:proofErr w:type="spellEnd"/>
      <w:r>
        <w:rPr>
          <w:rFonts w:eastAsia="Times New Roman" w:cs="Times New Roman"/>
          <w:sz w:val="19"/>
          <w:szCs w:val="19"/>
          <w:lang w:eastAsia="de-DE"/>
        </w:rPr>
        <w:t>. Marseille: Association for Computational Linguistics (Proceedings of the LREC 2020), pp. 1–7.</w:t>
      </w:r>
    </w:p>
    <w:p w14:paraId="29EA1971" w14:textId="77777777" w:rsidR="00910380" w:rsidRDefault="00000000" w:rsidP="00792002">
      <w:pPr>
        <w:spacing w:before="0" w:line="276" w:lineRule="auto"/>
        <w:ind w:left="426" w:hanging="426"/>
        <w:jc w:val="left"/>
        <w:textAlignment w:val="auto"/>
        <w:rPr>
          <w:rFonts w:eastAsia="Times New Roman" w:cs="Times New Roman"/>
          <w:sz w:val="19"/>
          <w:szCs w:val="19"/>
          <w:lang w:eastAsia="de-DE"/>
        </w:rPr>
      </w:pPr>
      <w:r>
        <w:rPr>
          <w:rFonts w:eastAsia="Times New Roman" w:cs="Times New Roman"/>
          <w:sz w:val="19"/>
          <w:szCs w:val="19"/>
          <w:lang w:eastAsia="de-DE"/>
        </w:rPr>
        <w:t>Fillmore, Charles J. (1982): Frame semantics. In: Linguistics in the Morning Calm. Seoul, South Korea: Hanshin Publishing, pp. 111–137.</w:t>
      </w:r>
    </w:p>
    <w:p w14:paraId="14DEC95D" w14:textId="77777777" w:rsidR="00910380" w:rsidRDefault="00000000" w:rsidP="00792002">
      <w:pPr>
        <w:spacing w:before="0" w:line="276" w:lineRule="auto"/>
        <w:ind w:left="426" w:hanging="426"/>
        <w:jc w:val="left"/>
        <w:textAlignment w:val="auto"/>
        <w:rPr>
          <w:rFonts w:eastAsia="Times New Roman" w:cs="Times New Roman"/>
          <w:sz w:val="19"/>
          <w:szCs w:val="19"/>
          <w:lang w:eastAsia="de-DE"/>
        </w:rPr>
      </w:pPr>
      <w:r>
        <w:rPr>
          <w:rFonts w:eastAsia="Times New Roman" w:cs="Times New Roman"/>
          <w:sz w:val="19"/>
          <w:szCs w:val="19"/>
          <w:lang w:eastAsia="de-DE"/>
        </w:rPr>
        <w:t xml:space="preserve">House, Juliane (1997): Translation quality assessment. A model revisited. Tübingen: Gunter </w:t>
      </w:r>
      <w:proofErr w:type="spellStart"/>
      <w:r>
        <w:rPr>
          <w:rFonts w:eastAsia="Times New Roman" w:cs="Times New Roman"/>
          <w:sz w:val="19"/>
          <w:szCs w:val="19"/>
          <w:lang w:eastAsia="de-DE"/>
        </w:rPr>
        <w:t>Narr</w:t>
      </w:r>
      <w:proofErr w:type="spellEnd"/>
      <w:r>
        <w:rPr>
          <w:rFonts w:eastAsia="Times New Roman" w:cs="Times New Roman"/>
          <w:sz w:val="19"/>
          <w:szCs w:val="19"/>
          <w:lang w:eastAsia="de-DE"/>
        </w:rPr>
        <w:t xml:space="preserve"> Verlag.</w:t>
      </w:r>
    </w:p>
    <w:p w14:paraId="41DFA8EF" w14:textId="77777777" w:rsidR="00910380" w:rsidRPr="009E0497" w:rsidRDefault="00000000" w:rsidP="00792002">
      <w:pPr>
        <w:spacing w:before="0" w:line="276" w:lineRule="auto"/>
        <w:ind w:left="426" w:hanging="426"/>
        <w:jc w:val="left"/>
        <w:textAlignment w:val="auto"/>
        <w:rPr>
          <w:lang w:val="de-DE"/>
        </w:rPr>
      </w:pPr>
      <w:proofErr w:type="spellStart"/>
      <w:r>
        <w:rPr>
          <w:rFonts w:eastAsia="Times New Roman" w:cs="Times New Roman"/>
          <w:sz w:val="19"/>
          <w:szCs w:val="19"/>
          <w:lang w:eastAsia="de-DE"/>
        </w:rPr>
        <w:t>Karakanta</w:t>
      </w:r>
      <w:proofErr w:type="spellEnd"/>
      <w:r>
        <w:rPr>
          <w:rFonts w:eastAsia="Times New Roman" w:cs="Times New Roman"/>
          <w:sz w:val="19"/>
          <w:szCs w:val="19"/>
          <w:lang w:eastAsia="de-DE"/>
        </w:rPr>
        <w:t>, Alina/Vela, Mihaela/</w:t>
      </w:r>
      <w:proofErr w:type="spellStart"/>
      <w:r>
        <w:rPr>
          <w:rFonts w:eastAsia="Times New Roman" w:cs="Times New Roman"/>
          <w:sz w:val="19"/>
          <w:szCs w:val="19"/>
          <w:lang w:eastAsia="de-DE"/>
        </w:rPr>
        <w:t>Teich</w:t>
      </w:r>
      <w:proofErr w:type="spellEnd"/>
      <w:r>
        <w:rPr>
          <w:rFonts w:eastAsia="Times New Roman" w:cs="Times New Roman"/>
          <w:sz w:val="19"/>
          <w:szCs w:val="19"/>
          <w:lang w:eastAsia="de-DE"/>
        </w:rPr>
        <w:t xml:space="preserve">, Elke (2018): </w:t>
      </w:r>
      <w:proofErr w:type="spellStart"/>
      <w:r>
        <w:rPr>
          <w:rFonts w:eastAsia="Times New Roman" w:cs="Times New Roman"/>
          <w:sz w:val="19"/>
          <w:szCs w:val="19"/>
          <w:lang w:eastAsia="de-DE"/>
        </w:rPr>
        <w:t>EuroParl-UdS</w:t>
      </w:r>
      <w:proofErr w:type="spellEnd"/>
      <w:r>
        <w:rPr>
          <w:rFonts w:eastAsia="Times New Roman" w:cs="Times New Roman"/>
          <w:sz w:val="19"/>
          <w:szCs w:val="19"/>
          <w:lang w:eastAsia="de-DE"/>
        </w:rPr>
        <w:t xml:space="preserve">: Preserving and extending metadata in parliamentary debates. </w:t>
      </w:r>
      <w:r>
        <w:rPr>
          <w:rFonts w:eastAsia="Times New Roman" w:cs="Times New Roman"/>
          <w:sz w:val="19"/>
          <w:szCs w:val="19"/>
          <w:lang w:val="de-DE" w:eastAsia="de-DE"/>
        </w:rPr>
        <w:t>Miyazaki, Japan.</w:t>
      </w:r>
    </w:p>
    <w:p w14:paraId="3C60C2D9" w14:textId="77777777" w:rsidR="00910380" w:rsidRDefault="00000000" w:rsidP="00792002">
      <w:pPr>
        <w:spacing w:before="0" w:line="276" w:lineRule="auto"/>
        <w:ind w:left="426" w:hanging="426"/>
        <w:jc w:val="left"/>
        <w:textAlignment w:val="auto"/>
        <w:rPr>
          <w:rFonts w:eastAsia="Times New Roman" w:cs="Times New Roman"/>
          <w:sz w:val="19"/>
          <w:szCs w:val="19"/>
          <w:lang w:val="de-DE" w:eastAsia="de-DE"/>
        </w:rPr>
      </w:pPr>
      <w:r>
        <w:rPr>
          <w:rFonts w:eastAsia="Times New Roman" w:cs="Times New Roman"/>
          <w:sz w:val="19"/>
          <w:szCs w:val="19"/>
          <w:lang w:val="de-DE" w:eastAsia="de-DE"/>
        </w:rPr>
        <w:t xml:space="preserve">Nord, Christiane (2009): Textanalyse und Übersetzen: theoretische Grundlagen, Methode und didaktische Anwendung einer übersetzungsrelevanten Textanalyse. 4., </w:t>
      </w:r>
      <w:proofErr w:type="spellStart"/>
      <w:r>
        <w:rPr>
          <w:rFonts w:eastAsia="Times New Roman" w:cs="Times New Roman"/>
          <w:sz w:val="19"/>
          <w:szCs w:val="19"/>
          <w:lang w:val="de-DE" w:eastAsia="de-DE"/>
        </w:rPr>
        <w:t>überarb</w:t>
      </w:r>
      <w:proofErr w:type="spellEnd"/>
      <w:r>
        <w:rPr>
          <w:rFonts w:eastAsia="Times New Roman" w:cs="Times New Roman"/>
          <w:sz w:val="19"/>
          <w:szCs w:val="19"/>
          <w:lang w:val="de-DE" w:eastAsia="de-DE"/>
        </w:rPr>
        <w:t>. Aufl. Tübingen: Groos.</w:t>
      </w:r>
    </w:p>
    <w:p w14:paraId="671FD97E" w14:textId="77777777" w:rsidR="00910380" w:rsidRDefault="00000000" w:rsidP="00792002">
      <w:pPr>
        <w:spacing w:before="0" w:line="276" w:lineRule="auto"/>
        <w:ind w:left="426" w:hanging="426"/>
        <w:jc w:val="left"/>
        <w:textAlignment w:val="auto"/>
        <w:rPr>
          <w:rFonts w:eastAsia="Times New Roman" w:cs="Times New Roman"/>
          <w:sz w:val="19"/>
          <w:szCs w:val="19"/>
          <w:lang w:val="de-DE" w:eastAsia="de-DE"/>
        </w:rPr>
      </w:pPr>
      <w:r>
        <w:rPr>
          <w:rFonts w:eastAsia="Times New Roman" w:cs="Times New Roman"/>
          <w:sz w:val="19"/>
          <w:szCs w:val="19"/>
          <w:lang w:val="de-DE" w:eastAsia="de-DE"/>
        </w:rPr>
        <w:t>Staffeldt, Sven (2011): Wie sie wissen: Kleines Plädoyer für mehr Pragmatik und mehr Konstruktionen in Grammatiken. In: Sprachwissenschaft, 36(1), pp. 85–112.</w:t>
      </w:r>
    </w:p>
    <w:p w14:paraId="4BE7AEBC" w14:textId="77777777" w:rsidR="00910380" w:rsidRDefault="00000000" w:rsidP="00792002">
      <w:pPr>
        <w:spacing w:before="0" w:line="276" w:lineRule="auto"/>
        <w:ind w:left="426" w:hanging="426"/>
        <w:jc w:val="left"/>
        <w:textAlignment w:val="auto"/>
      </w:pPr>
      <w:r>
        <w:rPr>
          <w:rFonts w:eastAsia="Times New Roman" w:cs="Times New Roman"/>
          <w:sz w:val="19"/>
          <w:szCs w:val="19"/>
          <w:lang w:val="de-DE" w:eastAsia="de-DE"/>
        </w:rPr>
        <w:t>Steinberger, Ralf/Eisele, Andreas/</w:t>
      </w:r>
      <w:proofErr w:type="spellStart"/>
      <w:r>
        <w:rPr>
          <w:rFonts w:eastAsia="Times New Roman" w:cs="Times New Roman"/>
          <w:sz w:val="19"/>
          <w:szCs w:val="19"/>
          <w:lang w:val="de-DE" w:eastAsia="de-DE"/>
        </w:rPr>
        <w:t>Klocek</w:t>
      </w:r>
      <w:proofErr w:type="spellEnd"/>
      <w:r>
        <w:rPr>
          <w:rFonts w:eastAsia="Times New Roman" w:cs="Times New Roman"/>
          <w:sz w:val="19"/>
          <w:szCs w:val="19"/>
          <w:lang w:val="de-DE" w:eastAsia="de-DE"/>
        </w:rPr>
        <w:t>, Szymon/</w:t>
      </w:r>
      <w:proofErr w:type="spellStart"/>
      <w:r>
        <w:rPr>
          <w:rFonts w:eastAsia="Times New Roman" w:cs="Times New Roman"/>
          <w:sz w:val="19"/>
          <w:szCs w:val="19"/>
          <w:lang w:val="de-DE" w:eastAsia="de-DE"/>
        </w:rPr>
        <w:t>Pilos</w:t>
      </w:r>
      <w:proofErr w:type="spellEnd"/>
      <w:r>
        <w:rPr>
          <w:rFonts w:eastAsia="Times New Roman" w:cs="Times New Roman"/>
          <w:sz w:val="19"/>
          <w:szCs w:val="19"/>
          <w:lang w:val="de-DE" w:eastAsia="de-DE"/>
        </w:rPr>
        <w:t xml:space="preserve">, Spyridon/Schlüter, Patrick (2012): DGT-TM: A </w:t>
      </w:r>
      <w:proofErr w:type="spellStart"/>
      <w:r>
        <w:rPr>
          <w:rFonts w:eastAsia="Times New Roman" w:cs="Times New Roman"/>
          <w:sz w:val="19"/>
          <w:szCs w:val="19"/>
          <w:lang w:val="de-DE" w:eastAsia="de-DE"/>
        </w:rPr>
        <w:t>freely</w:t>
      </w:r>
      <w:proofErr w:type="spellEnd"/>
      <w:r>
        <w:rPr>
          <w:rFonts w:eastAsia="Times New Roman" w:cs="Times New Roman"/>
          <w:sz w:val="19"/>
          <w:szCs w:val="19"/>
          <w:lang w:val="de-DE" w:eastAsia="de-DE"/>
        </w:rPr>
        <w:t xml:space="preserve"> </w:t>
      </w:r>
      <w:proofErr w:type="spellStart"/>
      <w:r>
        <w:rPr>
          <w:rFonts w:eastAsia="Times New Roman" w:cs="Times New Roman"/>
          <w:sz w:val="19"/>
          <w:szCs w:val="19"/>
          <w:lang w:val="de-DE" w:eastAsia="de-DE"/>
        </w:rPr>
        <w:t>Available</w:t>
      </w:r>
      <w:proofErr w:type="spellEnd"/>
      <w:r>
        <w:rPr>
          <w:rFonts w:eastAsia="Times New Roman" w:cs="Times New Roman"/>
          <w:sz w:val="19"/>
          <w:szCs w:val="19"/>
          <w:lang w:val="de-DE" w:eastAsia="de-DE"/>
        </w:rPr>
        <w:t xml:space="preserve"> Translation Memory in 22 </w:t>
      </w:r>
      <w:proofErr w:type="spellStart"/>
      <w:r>
        <w:rPr>
          <w:rFonts w:eastAsia="Times New Roman" w:cs="Times New Roman"/>
          <w:sz w:val="19"/>
          <w:szCs w:val="19"/>
          <w:lang w:val="de-DE" w:eastAsia="de-DE"/>
        </w:rPr>
        <w:t>Languages</w:t>
      </w:r>
      <w:proofErr w:type="spellEnd"/>
      <w:r>
        <w:rPr>
          <w:rFonts w:eastAsia="Times New Roman" w:cs="Times New Roman"/>
          <w:sz w:val="19"/>
          <w:szCs w:val="19"/>
          <w:lang w:val="de-DE" w:eastAsia="de-DE"/>
        </w:rPr>
        <w:t xml:space="preserve">. </w:t>
      </w:r>
      <w:r>
        <w:rPr>
          <w:rFonts w:eastAsia="Times New Roman" w:cs="Times New Roman"/>
          <w:sz w:val="19"/>
          <w:szCs w:val="19"/>
          <w:lang w:eastAsia="de-DE"/>
        </w:rPr>
        <w:t xml:space="preserve">In: Proceedings of the Eight International Conference on Language Resources and Evaluation (LREC’12). </w:t>
      </w:r>
      <w:r>
        <w:rPr>
          <w:rFonts w:eastAsia="Times New Roman" w:cs="Times New Roman"/>
          <w:i/>
          <w:iCs/>
          <w:sz w:val="19"/>
          <w:szCs w:val="19"/>
          <w:lang w:eastAsia="de-DE"/>
        </w:rPr>
        <w:t>LREC 2012</w:t>
      </w:r>
      <w:r>
        <w:rPr>
          <w:rFonts w:eastAsia="Times New Roman" w:cs="Times New Roman"/>
          <w:sz w:val="19"/>
          <w:szCs w:val="19"/>
          <w:lang w:eastAsia="de-DE"/>
        </w:rPr>
        <w:t>, Istanbul, Turkey: European Language Resources Association (ELRA), pp. 454–459.</w:t>
      </w:r>
    </w:p>
    <w:p w14:paraId="122734B9" w14:textId="77777777" w:rsidR="00910380" w:rsidRDefault="00910380">
      <w:pPr>
        <w:spacing w:before="0" w:line="240" w:lineRule="auto"/>
        <w:ind w:hanging="480"/>
        <w:jc w:val="left"/>
        <w:textAlignment w:val="auto"/>
        <w:rPr>
          <w:rFonts w:eastAsia="Times New Roman" w:cs="Times New Roman"/>
          <w:sz w:val="19"/>
          <w:szCs w:val="19"/>
          <w:lang w:eastAsia="de-DE"/>
        </w:rPr>
      </w:pPr>
    </w:p>
    <w:p w14:paraId="051E4932" w14:textId="77777777" w:rsidR="00910380" w:rsidRDefault="00000000">
      <w:pPr>
        <w:pStyle w:val="berschrift1"/>
      </w:pPr>
      <w:r>
        <w:lastRenderedPageBreak/>
        <w:t>Contact information</w:t>
      </w:r>
    </w:p>
    <w:p w14:paraId="513E0FA9" w14:textId="77777777" w:rsidR="00792002" w:rsidRDefault="00792002">
      <w:pPr>
        <w:rPr>
          <w:rStyle w:val="Fett"/>
          <w:lang w:val="de-DE"/>
        </w:rPr>
      </w:pPr>
    </w:p>
    <w:p w14:paraId="75EAA82D" w14:textId="541553D6" w:rsidR="00910380" w:rsidRPr="009E0497" w:rsidRDefault="00000000">
      <w:pPr>
        <w:rPr>
          <w:lang w:val="de-DE"/>
        </w:rPr>
      </w:pPr>
      <w:r>
        <w:rPr>
          <w:rStyle w:val="Fett"/>
          <w:lang w:val="de-DE"/>
        </w:rPr>
        <w:t>Susanne Triesch</w:t>
      </w:r>
    </w:p>
    <w:p w14:paraId="4642BC36" w14:textId="6496361A" w:rsidR="00910380" w:rsidRDefault="00000000">
      <w:pPr>
        <w:rPr>
          <w:lang w:val="de-DE"/>
        </w:rPr>
      </w:pPr>
      <w:r>
        <w:rPr>
          <w:lang w:val="de-DE"/>
        </w:rPr>
        <w:t>Heinrich</w:t>
      </w:r>
      <w:r w:rsidR="009E0497">
        <w:rPr>
          <w:lang w:val="de-DE"/>
        </w:rPr>
        <w:t xml:space="preserve"> </w:t>
      </w:r>
      <w:r>
        <w:rPr>
          <w:lang w:val="de-DE"/>
        </w:rPr>
        <w:t>Heine University Düsseldorf</w:t>
      </w:r>
    </w:p>
    <w:p w14:paraId="093B32D2" w14:textId="77777777" w:rsidR="00910380" w:rsidRPr="009E0497" w:rsidRDefault="00000000">
      <w:pPr>
        <w:rPr>
          <w:lang w:val="de-DE"/>
        </w:rPr>
      </w:pPr>
      <w:hyperlink r:id="rId7" w:history="1">
        <w:r w:rsidRPr="009E0497">
          <w:rPr>
            <w:rStyle w:val="Hyperlink"/>
            <w:lang w:val="de-DE"/>
          </w:rPr>
          <w:t>triesch@hhu.de</w:t>
        </w:r>
      </w:hyperlink>
      <w:r w:rsidRPr="009E0497">
        <w:rPr>
          <w:lang w:val="de-DE"/>
        </w:rPr>
        <w:t xml:space="preserve"> </w:t>
      </w:r>
    </w:p>
    <w:p w14:paraId="3F19558A" w14:textId="77777777" w:rsidR="00910380" w:rsidRPr="009E0497" w:rsidRDefault="00000000">
      <w:pPr>
        <w:rPr>
          <w:lang w:val="de-DE"/>
        </w:rPr>
      </w:pPr>
      <w:r w:rsidRPr="009E0497">
        <w:rPr>
          <w:lang w:val="de-DE"/>
        </w:rPr>
        <w:t>Leipzig University</w:t>
      </w:r>
    </w:p>
    <w:p w14:paraId="49F37243" w14:textId="77777777" w:rsidR="00910380" w:rsidRPr="009E0497" w:rsidRDefault="00000000">
      <w:pPr>
        <w:rPr>
          <w:lang w:val="de-DE"/>
        </w:rPr>
      </w:pPr>
      <w:hyperlink r:id="rId8" w:history="1">
        <w:r>
          <w:rPr>
            <w:rStyle w:val="Hyperlink"/>
            <w:lang w:val="de-DE"/>
          </w:rPr>
          <w:t>s.triesch@studserv.uni-leipzig.de</w:t>
        </w:r>
      </w:hyperlink>
    </w:p>
    <w:p w14:paraId="1B735A18" w14:textId="77777777" w:rsidR="00910380" w:rsidRDefault="00910380">
      <w:pPr>
        <w:rPr>
          <w:lang w:val="de-DE"/>
        </w:rPr>
      </w:pPr>
    </w:p>
    <w:p w14:paraId="335417D2" w14:textId="77777777" w:rsidR="00910380" w:rsidRDefault="00000000">
      <w:r>
        <w:rPr>
          <w:rStyle w:val="Fett"/>
        </w:rPr>
        <w:t>Oliver Czulo</w:t>
      </w:r>
    </w:p>
    <w:p w14:paraId="3C22A99B" w14:textId="77777777" w:rsidR="00910380" w:rsidRDefault="00000000">
      <w:r>
        <w:t>Leipzig University</w:t>
      </w:r>
    </w:p>
    <w:p w14:paraId="18D182BE" w14:textId="77777777" w:rsidR="00910380" w:rsidRDefault="00000000">
      <w:hyperlink r:id="rId9" w:history="1">
        <w:r>
          <w:rPr>
            <w:rStyle w:val="Hyperlink"/>
          </w:rPr>
          <w:t>oliver.czulo@uni-leipzig.de</w:t>
        </w:r>
      </w:hyperlink>
    </w:p>
    <w:sectPr w:rsidR="00910380">
      <w:headerReference w:type="default" r:id="rId10"/>
      <w:footerReference w:type="default" r:id="rId11"/>
      <w:pgSz w:w="11906" w:h="16838"/>
      <w:pgMar w:top="1814" w:right="1871" w:bottom="2155" w:left="1871"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8F42" w14:textId="77777777" w:rsidR="004C69A5" w:rsidRDefault="004C69A5">
      <w:pPr>
        <w:spacing w:before="0" w:line="240" w:lineRule="auto"/>
      </w:pPr>
      <w:r>
        <w:separator/>
      </w:r>
    </w:p>
  </w:endnote>
  <w:endnote w:type="continuationSeparator" w:id="0">
    <w:p w14:paraId="1C88A088" w14:textId="77777777" w:rsidR="004C69A5" w:rsidRDefault="004C69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tinus Serif">
    <w:altName w:val="Calibri"/>
    <w:charset w:val="00"/>
    <w:family w:val="auto"/>
    <w:pitch w:val="variable"/>
  </w:font>
  <w:font w:name="Fira Sans">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default"/>
  </w:font>
  <w:font w:name="Noto Sans CJK SC">
    <w:charset w:val="00"/>
    <w:family w:val="auto"/>
    <w:pitch w:val="variable"/>
  </w:font>
  <w:font w:name="Droid Sans Devanagari">
    <w:charset w:val="00"/>
    <w:family w:val="auto"/>
    <w:pitch w:val="variable"/>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ECE2" w14:textId="77777777" w:rsidR="00E20DDB" w:rsidRDefault="00000000">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rPr>
      <w:t>3</w:t>
    </w:r>
    <w:r>
      <w:rPr>
        <w:rStyle w:val="Seitenzahl"/>
      </w:rPr>
      <w:fldChar w:fldCharType="end"/>
    </w:r>
  </w:p>
  <w:p w14:paraId="1F434C4E" w14:textId="77777777" w:rsidR="00E20DDB" w:rsidRDefault="00000000">
    <w:pPr>
      <w:pStyle w:val="Fuzeile"/>
    </w:pPr>
  </w:p>
  <w:p w14:paraId="73D31AA2" w14:textId="77777777" w:rsidR="00E20DDB"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A75A" w14:textId="77777777" w:rsidR="004C69A5" w:rsidRDefault="004C69A5">
      <w:pPr>
        <w:spacing w:before="0" w:line="240" w:lineRule="auto"/>
      </w:pPr>
      <w:r>
        <w:rPr>
          <w:color w:val="000000"/>
        </w:rPr>
        <w:separator/>
      </w:r>
    </w:p>
  </w:footnote>
  <w:footnote w:type="continuationSeparator" w:id="0">
    <w:p w14:paraId="09FEDCBA" w14:textId="77777777" w:rsidR="004C69A5" w:rsidRDefault="004C69A5">
      <w:pPr>
        <w:spacing w:before="0" w:line="240" w:lineRule="auto"/>
      </w:pPr>
      <w:r>
        <w:continuationSeparator/>
      </w:r>
    </w:p>
  </w:footnote>
  <w:footnote w:id="1">
    <w:p w14:paraId="264EE341" w14:textId="77777777" w:rsidR="00910380" w:rsidRDefault="00000000">
      <w:pPr>
        <w:pStyle w:val="Funotentext"/>
      </w:pPr>
      <w:r>
        <w:rPr>
          <w:rStyle w:val="Funotenzeichen"/>
        </w:rPr>
        <w:footnoteRef/>
      </w:r>
      <w:r>
        <w:rPr>
          <w:rFonts w:ascii="Libertinus Serif" w:hAnsi="Libertinus Serif"/>
        </w:rPr>
        <w:t xml:space="preserve"> </w:t>
      </w:r>
      <w:r>
        <w:rPr>
          <w:rFonts w:ascii="Libertinus Serif" w:eastAsia="Courier New" w:hAnsi="Libertinus Serif"/>
          <w:kern w:val="3"/>
          <w:lang w:eastAsia="de-DE"/>
        </w:rPr>
        <w:t xml:space="preserve">The frame is described in German as </w:t>
      </w:r>
      <w:proofErr w:type="spellStart"/>
      <w:r>
        <w:rPr>
          <w:rFonts w:ascii="Courier New" w:eastAsia="Courier New" w:hAnsi="Courier New" w:cs="Courier New"/>
          <w:kern w:val="3"/>
          <w:lang w:eastAsia="de-DE"/>
        </w:rPr>
        <w:t>Gemeinsames_Vorwissen</w:t>
      </w:r>
      <w:proofErr w:type="spellEnd"/>
      <w:r>
        <w:rPr>
          <w:rFonts w:ascii="Libertinus Serif" w:eastAsia="Courier New" w:hAnsi="Libertinus Serif"/>
          <w:kern w:val="3"/>
          <w:lang w:eastAsia="de-DE"/>
        </w:rPr>
        <w:t xml:space="preserve">, see German </w:t>
      </w:r>
      <w:proofErr w:type="spellStart"/>
      <w:r>
        <w:rPr>
          <w:rFonts w:ascii="Libertinus Serif" w:eastAsia="Courier New" w:hAnsi="Libertinus Serif"/>
          <w:kern w:val="3"/>
          <w:lang w:eastAsia="de-DE"/>
        </w:rPr>
        <w:t>FrameNet</w:t>
      </w:r>
      <w:proofErr w:type="spellEnd"/>
      <w:r>
        <w:rPr>
          <w:rFonts w:ascii="Libertinus Serif" w:eastAsia="Courier New" w:hAnsi="Libertinus Serif"/>
          <w:kern w:val="3"/>
          <w:lang w:eastAsia="de-DE"/>
        </w:rPr>
        <w:t xml:space="preserve"> entry: </w:t>
      </w:r>
      <w:hyperlink r:id="rId1" w:history="1">
        <w:r>
          <w:rPr>
            <w:rStyle w:val="Hyperlink"/>
            <w:rFonts w:ascii="Libertinus Serif" w:eastAsia="Courier New" w:hAnsi="Libertinus Serif"/>
            <w:kern w:val="3"/>
            <w:lang w:eastAsia="de-DE"/>
          </w:rPr>
          <w:t>https://gsw.phil.hhu.de/framenet/frame?id=1569</w:t>
        </w:r>
      </w:hyperlink>
      <w:r>
        <w:rPr>
          <w:rFonts w:ascii="Libertinus Serif" w:eastAsia="Courier New" w:hAnsi="Libertinus Serif"/>
          <w:kern w:val="3"/>
          <w:lang w:eastAsia="de-DE"/>
        </w:rPr>
        <w:t xml:space="preserve"> [2023-04-20]. </w:t>
      </w:r>
      <w:r>
        <w:rPr>
          <w:rFonts w:ascii="Libertinus Serif" w:eastAsia="Courier New" w:hAnsi="Libertinus Serif"/>
          <w:kern w:val="3"/>
          <w:lang w:eastAsia="de-DE"/>
        </w:rPr>
        <w:br/>
        <w:t>Following conventions in frame semantics, frames are set in Courier, frame elements in small caps.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4916" w14:textId="77777777" w:rsidR="00E20DDB" w:rsidRDefault="00000000">
    <w:pPr>
      <w:pStyle w:val="Kopfzeile"/>
    </w:pPr>
    <w:r>
      <w:t>ICLC-10 2023 - Submission 6834</w:t>
    </w:r>
  </w:p>
  <w:p w14:paraId="12C98E36" w14:textId="77777777" w:rsidR="00E20DDB" w:rsidRDefault="00000000">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D4389"/>
    <w:multiLevelType w:val="multilevel"/>
    <w:tmpl w:val="24AE8542"/>
    <w:styleLink w:val="WWNum2"/>
    <w:lvl w:ilvl="0">
      <w:start w:val="1"/>
      <w:numFmt w:val="decimal"/>
      <w:pStyle w:val="Example"/>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68D73D96"/>
    <w:multiLevelType w:val="multilevel"/>
    <w:tmpl w:val="A88A22E6"/>
    <w:styleLink w:val="WWNum1"/>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 w15:restartNumberingAfterBreak="0">
    <w:nsid w:val="692A4333"/>
    <w:multiLevelType w:val="multilevel"/>
    <w:tmpl w:val="86642880"/>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722023008">
    <w:abstractNumId w:val="1"/>
  </w:num>
  <w:num w:numId="2" w16cid:durableId="1874221521">
    <w:abstractNumId w:val="0"/>
  </w:num>
  <w:num w:numId="3" w16cid:durableId="270403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10380"/>
    <w:rsid w:val="00050C56"/>
    <w:rsid w:val="004C69A5"/>
    <w:rsid w:val="00792002"/>
    <w:rsid w:val="00910380"/>
    <w:rsid w:val="009E0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BADB"/>
  <w15:docId w15:val="{A0EF10A2-B332-417C-BC13-166E926D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spacing w:before="113" w:line="280" w:lineRule="exact"/>
      <w:jc w:val="both"/>
    </w:pPr>
    <w:rPr>
      <w:rFonts w:ascii="Libertinus Serif" w:eastAsia="Libertinus Serif" w:hAnsi="Libertinus Serif" w:cs="Libertinus Serif"/>
    </w:rPr>
  </w:style>
  <w:style w:type="paragraph" w:styleId="berschrift1">
    <w:name w:val="heading 1"/>
    <w:basedOn w:val="Standard"/>
    <w:next w:val="Standard"/>
    <w:uiPriority w:val="9"/>
    <w:qFormat/>
    <w:pPr>
      <w:keepNext/>
      <w:keepLines/>
      <w:spacing w:before="340" w:after="113" w:line="360" w:lineRule="exact"/>
      <w:outlineLvl w:val="0"/>
    </w:pPr>
    <w:rPr>
      <w:rFonts w:ascii="Fira Sans" w:eastAsia="Calibri" w:hAnsi="Fira Sans" w:cs="Tahoma"/>
      <w:b/>
      <w:color w:val="4FAF4A"/>
      <w:sz w:val="28"/>
      <w:szCs w:val="32"/>
    </w:rPr>
  </w:style>
  <w:style w:type="paragraph" w:styleId="berschrift2">
    <w:name w:val="heading 2"/>
    <w:basedOn w:val="Standard"/>
    <w:next w:val="Standard"/>
    <w:uiPriority w:val="9"/>
    <w:semiHidden/>
    <w:unhideWhenUsed/>
    <w:qFormat/>
    <w:pPr>
      <w:keepNext/>
      <w:keepLines/>
      <w:spacing w:before="340" w:after="113" w:line="340" w:lineRule="exact"/>
      <w:outlineLvl w:val="1"/>
    </w:pPr>
    <w:rPr>
      <w:rFonts w:ascii="Fira Sans" w:eastAsia="Calibri" w:hAnsi="Fira Sans" w:cs="Tahoma"/>
      <w:b/>
      <w:color w:val="4FAF4A"/>
      <w:sz w:val="26"/>
      <w:szCs w:val="26"/>
    </w:rPr>
  </w:style>
  <w:style w:type="paragraph" w:styleId="berschrift3">
    <w:name w:val="heading 3"/>
    <w:basedOn w:val="Standard"/>
    <w:next w:val="Standard"/>
    <w:uiPriority w:val="9"/>
    <w:semiHidden/>
    <w:unhideWhenUsed/>
    <w:qFormat/>
    <w:pPr>
      <w:keepNext/>
      <w:keepLines/>
      <w:spacing w:before="227" w:after="113" w:line="320" w:lineRule="exact"/>
      <w:outlineLvl w:val="2"/>
    </w:pPr>
    <w:rPr>
      <w:rFonts w:ascii="Fira Sans" w:eastAsia="Calibri" w:hAnsi="Fira Sans" w:cs="Tahoma"/>
      <w:color w:val="4FAF4A"/>
      <w:sz w:val="24"/>
      <w:szCs w:val="24"/>
    </w:rPr>
  </w:style>
  <w:style w:type="paragraph" w:styleId="berschrift4">
    <w:name w:val="heading 4"/>
    <w:basedOn w:val="Standard"/>
    <w:next w:val="Standard"/>
    <w:uiPriority w:val="9"/>
    <w:semiHidden/>
    <w:unhideWhenUsed/>
    <w:qFormat/>
    <w:pPr>
      <w:keepNext/>
      <w:keepLines/>
      <w:spacing w:before="227"/>
      <w:outlineLvl w:val="3"/>
    </w:pPr>
    <w:rPr>
      <w:rFonts w:ascii="Fira Sans" w:eastAsia="Calibri" w:hAnsi="Fira Sans" w:cs="Tahoma"/>
      <w:iCs/>
      <w:color w:val="4FAF4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berschrift1"/>
    <w:next w:val="Textbody"/>
    <w:pPr>
      <w:spacing w:before="240" w:after="120"/>
    </w:pPr>
    <w:rPr>
      <w:rFonts w:ascii="Liberation Sans" w:eastAsia="Noto Sans CJK SC" w:hAnsi="Liberation Sans" w:cs="Droid Sans Devanagari"/>
      <w:szCs w:val="28"/>
    </w:rPr>
  </w:style>
  <w:style w:type="paragraph" w:customStyle="1" w:styleId="Textbody">
    <w:name w:val="Text body"/>
    <w:basedOn w:val="Standard"/>
    <w:pPr>
      <w:spacing w:before="0" w:after="140" w:line="276" w:lineRule="auto"/>
    </w:pPr>
  </w:style>
  <w:style w:type="paragraph" w:styleId="Liste">
    <w:name w:val="List"/>
    <w:basedOn w:val="Textbody"/>
    <w:rPr>
      <w:rFonts w:cs="Droid Sans Devanagari"/>
    </w:rPr>
  </w:style>
  <w:style w:type="paragraph" w:styleId="Beschriftung">
    <w:name w:val="caption"/>
    <w:basedOn w:val="Standard"/>
    <w:pPr>
      <w:suppressLineNumbers/>
      <w:spacing w:before="0" w:after="227" w:line="232" w:lineRule="exact"/>
    </w:pPr>
    <w:rPr>
      <w:rFonts w:cs="Droid Sans Devanagari"/>
      <w:iCs/>
      <w:sz w:val="19"/>
      <w:szCs w:val="24"/>
    </w:rPr>
  </w:style>
  <w:style w:type="paragraph" w:customStyle="1" w:styleId="Index">
    <w:name w:val="Index"/>
    <w:basedOn w:val="Standard"/>
    <w:pPr>
      <w:suppressLineNumbers/>
    </w:pPr>
    <w:rPr>
      <w:rFonts w:cs="Droid Sans Devanagari"/>
    </w:rPr>
  </w:style>
  <w:style w:type="paragraph" w:styleId="Titel">
    <w:name w:val="Title"/>
    <w:basedOn w:val="Standard"/>
    <w:next w:val="Standard"/>
    <w:uiPriority w:val="10"/>
    <w:qFormat/>
    <w:pPr>
      <w:spacing w:before="170" w:after="340" w:line="440" w:lineRule="exact"/>
      <w:contextualSpacing/>
      <w:jc w:val="center"/>
    </w:pPr>
    <w:rPr>
      <w:rFonts w:ascii="Fira Sans" w:eastAsia="Calibri" w:hAnsi="Fira Sans" w:cs="Tahoma"/>
      <w:b/>
      <w:color w:val="4FAF4A"/>
      <w:sz w:val="38"/>
      <w:szCs w:val="56"/>
    </w:rPr>
  </w:style>
  <w:style w:type="paragraph" w:customStyle="1" w:styleId="Quotations">
    <w:name w:val="Quotations"/>
    <w:basedOn w:val="Standard"/>
    <w:next w:val="Standard"/>
    <w:pPr>
      <w:spacing w:line="250" w:lineRule="exact"/>
      <w:ind w:left="794" w:right="794"/>
    </w:pPr>
    <w:rPr>
      <w:iCs/>
      <w:sz w:val="20"/>
    </w:rPr>
  </w:style>
  <w:style w:type="paragraph" w:styleId="Untertitel">
    <w:name w:val="Subtitle"/>
    <w:basedOn w:val="Standard"/>
    <w:next w:val="Standard"/>
    <w:uiPriority w:val="11"/>
    <w:qFormat/>
    <w:pPr>
      <w:spacing w:before="0" w:after="340" w:line="320" w:lineRule="exact"/>
      <w:contextualSpacing/>
      <w:jc w:val="center"/>
    </w:pPr>
    <w:rPr>
      <w:rFonts w:ascii="Fira Sans" w:eastAsia="Calibri" w:hAnsi="Fira Sans" w:cs="Fira Sans"/>
      <w:b/>
      <w:color w:val="5A5A5A"/>
      <w:spacing w:val="16"/>
      <w:sz w:val="28"/>
    </w:rPr>
  </w:style>
  <w:style w:type="paragraph" w:customStyle="1" w:styleId="Author">
    <w:name w:val="Author"/>
    <w:basedOn w:val="Titel"/>
    <w:pPr>
      <w:spacing w:before="0" w:after="0" w:line="340" w:lineRule="exact"/>
      <w:contextualSpacing w:val="0"/>
    </w:pPr>
    <w:rPr>
      <w:b w:val="0"/>
      <w:color w:val="auto"/>
      <w:sz w:val="26"/>
    </w:rPr>
  </w:style>
  <w:style w:type="paragraph" w:styleId="Listenabsatz">
    <w:name w:val="List Paragraph"/>
    <w:basedOn w:val="Standard"/>
    <w:pPr>
      <w:tabs>
        <w:tab w:val="left" w:pos="284"/>
      </w:tabs>
      <w:spacing w:before="0"/>
      <w:ind w:left="284" w:hanging="284"/>
      <w:contextualSpacing/>
    </w:pPr>
  </w:style>
  <w:style w:type="paragraph" w:customStyle="1" w:styleId="Example">
    <w:name w:val="Example"/>
    <w:basedOn w:val="Standard"/>
    <w:autoRedefine/>
    <w:pPr>
      <w:numPr>
        <w:numId w:val="2"/>
      </w:numPr>
      <w:tabs>
        <w:tab w:val="left" w:pos="-1666"/>
      </w:tabs>
      <w:spacing w:before="57" w:after="57" w:line="240" w:lineRule="exact"/>
    </w:pPr>
    <w:rPr>
      <w:sz w:val="20"/>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before="0" w:line="240" w:lineRule="auto"/>
    </w:pPr>
  </w:style>
  <w:style w:type="paragraph" w:styleId="Fuzeile">
    <w:name w:val="footer"/>
    <w:basedOn w:val="Standard"/>
    <w:pPr>
      <w:tabs>
        <w:tab w:val="center" w:pos="4536"/>
        <w:tab w:val="right" w:pos="9072"/>
      </w:tabs>
      <w:spacing w:before="0" w:line="240" w:lineRule="auto"/>
    </w:pPr>
  </w:style>
  <w:style w:type="paragraph" w:customStyle="1" w:styleId="FunoteFootnote">
    <w:name w:val="Fußnote/Footnote"/>
    <w:basedOn w:val="Footnote"/>
    <w:pPr>
      <w:tabs>
        <w:tab w:val="left" w:pos="567"/>
      </w:tabs>
      <w:spacing w:line="230" w:lineRule="atLeast"/>
      <w:ind w:left="284" w:hanging="284"/>
      <w:textAlignment w:val="center"/>
    </w:pPr>
    <w:rPr>
      <w:rFonts w:cs="Times New Roman"/>
    </w:rPr>
  </w:style>
  <w:style w:type="paragraph" w:customStyle="1" w:styleId="Footnote">
    <w:name w:val="Footnote"/>
    <w:basedOn w:val="Standard"/>
    <w:pPr>
      <w:spacing w:before="0" w:line="232" w:lineRule="exact"/>
      <w:ind w:left="283" w:hanging="283"/>
    </w:pPr>
    <w:rPr>
      <w:sz w:val="19"/>
      <w:szCs w:val="20"/>
    </w:rPr>
  </w:style>
  <w:style w:type="paragraph" w:customStyle="1" w:styleId="Keywords">
    <w:name w:val="Keywords"/>
    <w:basedOn w:val="Standard"/>
    <w:rPr>
      <w:sz w:val="20"/>
    </w:rPr>
  </w:style>
  <w:style w:type="paragraph" w:styleId="IntensivesZitat">
    <w:name w:val="Intense Quote"/>
    <w:basedOn w:val="Quotations"/>
    <w:next w:val="Standard"/>
    <w:rPr>
      <w:bCs/>
      <w:iCs w:val="0"/>
    </w:rPr>
  </w:style>
  <w:style w:type="paragraph" w:customStyle="1" w:styleId="ReferenceEntry">
    <w:name w:val="Reference Entry"/>
    <w:basedOn w:val="Standard"/>
    <w:pPr>
      <w:spacing w:before="28" w:line="193" w:lineRule="atLeast"/>
      <w:ind w:left="283" w:hanging="283"/>
      <w:jc w:val="left"/>
      <w:textAlignment w:val="center"/>
    </w:pPr>
    <w:rPr>
      <w:sz w:val="19"/>
      <w:szCs w:val="20"/>
    </w:rPr>
  </w:style>
  <w:style w:type="paragraph" w:customStyle="1" w:styleId="Hangingindent">
    <w:name w:val="Hanging indent"/>
    <w:basedOn w:val="Textbody"/>
    <w:pPr>
      <w:spacing w:after="0"/>
      <w:ind w:left="283" w:hanging="283"/>
    </w:pPr>
  </w:style>
  <w:style w:type="paragraph" w:customStyle="1" w:styleId="TableContents">
    <w:name w:val="Table Contents"/>
    <w:basedOn w:val="Standard"/>
    <w:pPr>
      <w:widowControl w:val="0"/>
      <w:suppressLineNumbers/>
      <w:spacing w:before="0" w:after="57" w:line="232" w:lineRule="exact"/>
    </w:pPr>
    <w:rPr>
      <w:sz w:val="19"/>
    </w:rPr>
  </w:style>
  <w:style w:type="paragraph" w:customStyle="1" w:styleId="TableHeading">
    <w:name w:val="Table Heading"/>
    <w:basedOn w:val="TableContents"/>
    <w:pPr>
      <w:jc w:val="left"/>
    </w:pPr>
    <w:rPr>
      <w:b/>
      <w:bCs/>
    </w:rPr>
  </w:style>
  <w:style w:type="paragraph" w:customStyle="1" w:styleId="Bibliography1">
    <w:name w:val="Bibliography 1"/>
    <w:basedOn w:val="Index"/>
    <w:pPr>
      <w:spacing w:before="0" w:line="240" w:lineRule="atLeast"/>
      <w:ind w:left="720" w:hanging="720"/>
    </w:pPr>
    <w:rPr>
      <w:sz w:val="19"/>
    </w:rPr>
  </w:style>
  <w:style w:type="paragraph" w:styleId="Indexberschrift">
    <w:name w:val="index heading"/>
    <w:basedOn w:val="Heading"/>
    <w:pPr>
      <w:suppressLineNumbers/>
    </w:pPr>
    <w:rPr>
      <w:bCs/>
      <w:sz w:val="32"/>
      <w:szCs w:val="32"/>
    </w:rPr>
  </w:style>
  <w:style w:type="paragraph" w:styleId="Rechtsgrundlagenverzeichnis">
    <w:name w:val="table of authorities"/>
    <w:basedOn w:val="berschrift1"/>
    <w:autoRedefine/>
    <w:pPr>
      <w:suppressLineNumbers/>
    </w:pPr>
    <w:rPr>
      <w:bCs/>
    </w:rPr>
  </w:style>
  <w:style w:type="paragraph" w:styleId="Anrede">
    <w:name w:val="Salutation"/>
    <w:basedOn w:val="Heading"/>
    <w:next w:val="Textbody"/>
    <w:pPr>
      <w:jc w:val="center"/>
    </w:pPr>
    <w:rPr>
      <w:bCs/>
      <w:szCs w:val="32"/>
    </w:rPr>
  </w:style>
  <w:style w:type="paragraph" w:customStyle="1" w:styleId="ContentsHeading">
    <w:name w:val="Contents Heading"/>
    <w:basedOn w:val="Indexberschrift"/>
  </w:style>
  <w:style w:type="paragraph" w:customStyle="1" w:styleId="FigureIndexHeading">
    <w:name w:val="Figure Index Heading"/>
    <w:basedOn w:val="Indexberschrift"/>
  </w:style>
  <w:style w:type="paragraph" w:customStyle="1" w:styleId="OLtext">
    <w:name w:val="OL text"/>
    <w:basedOn w:val="Standard"/>
    <w:pPr>
      <w:spacing w:before="0" w:line="240" w:lineRule="exact"/>
    </w:pPr>
    <w:rPr>
      <w:rFonts w:ascii="Times New Roman" w:eastAsia="Times New Roman" w:hAnsi="Times New Roman" w:cs="Times New Roman"/>
      <w:sz w:val="20"/>
      <w:szCs w:val="20"/>
      <w:lang w:val="en-US"/>
    </w:rPr>
  </w:style>
  <w:style w:type="paragraph" w:customStyle="1" w:styleId="OLtextindented">
    <w:name w:val="OL text indented"/>
    <w:basedOn w:val="OLtext"/>
    <w:pPr>
      <w:ind w:firstLine="240"/>
    </w:pPr>
  </w:style>
  <w:style w:type="paragraph" w:customStyle="1" w:styleId="OLexamplesecondglossline">
    <w:name w:val="OL example second gloss line"/>
    <w:basedOn w:val="Standard"/>
    <w:pPr>
      <w:keepNext/>
      <w:spacing w:before="0" w:line="240" w:lineRule="auto"/>
      <w:jc w:val="left"/>
    </w:pPr>
    <w:rPr>
      <w:rFonts w:ascii="Times New Roman" w:eastAsia="Times New Roman" w:hAnsi="Times New Roman" w:cs="Times New Roman"/>
      <w:sz w:val="16"/>
      <w:szCs w:val="16"/>
      <w:lang w:val="en-US"/>
    </w:rPr>
  </w:style>
  <w:style w:type="paragraph" w:customStyle="1" w:styleId="OL3ptseparator">
    <w:name w:val="OL 3pt separator"/>
    <w:basedOn w:val="Standard"/>
    <w:pPr>
      <w:spacing w:before="0" w:line="240" w:lineRule="auto"/>
      <w:jc w:val="left"/>
    </w:pPr>
  </w:style>
  <w:style w:type="paragraph" w:customStyle="1" w:styleId="OLfootnote">
    <w:name w:val="OL footnote"/>
    <w:basedOn w:val="OLtext"/>
    <w:pPr>
      <w:spacing w:line="180" w:lineRule="exact"/>
      <w:ind w:left="240" w:hanging="240"/>
    </w:pPr>
    <w:rPr>
      <w:sz w:val="16"/>
    </w:rPr>
  </w:style>
  <w:style w:type="paragraph" w:customStyle="1" w:styleId="OLexamplesource">
    <w:name w:val="OL example source"/>
    <w:basedOn w:val="OLtext"/>
    <w:pPr>
      <w:jc w:val="right"/>
    </w:pPr>
  </w:style>
  <w:style w:type="paragraph" w:styleId="Sprechblasentext">
    <w:name w:val="Balloon Text"/>
    <w:basedOn w:val="Standard"/>
    <w:pPr>
      <w:spacing w:before="0" w:line="240" w:lineRule="auto"/>
    </w:pPr>
    <w:rPr>
      <w:rFonts w:ascii="Tahoma" w:eastAsia="Tahoma" w:hAnsi="Tahoma" w:cs="Tahoma"/>
      <w:sz w:val="16"/>
      <w:szCs w:val="16"/>
    </w:rPr>
  </w:style>
  <w:style w:type="paragraph" w:customStyle="1" w:styleId="BibliographyHeading">
    <w:name w:val="Bibliography Heading"/>
    <w:basedOn w:val="berschrift1"/>
    <w:autoRedefine/>
    <w:pPr>
      <w:suppressLineNumbers/>
    </w:pPr>
  </w:style>
  <w:style w:type="paragraph" w:styleId="Kommentartext">
    <w:name w:val="annotation text"/>
    <w:basedOn w:val="Standard"/>
    <w:pPr>
      <w:spacing w:before="0" w:after="160" w:line="240" w:lineRule="auto"/>
      <w:jc w:val="left"/>
      <w:textAlignment w:val="auto"/>
    </w:pPr>
    <w:rPr>
      <w:rFonts w:ascii="Calibri" w:eastAsia="Calibri" w:hAnsi="Calibri" w:cs="Times New Roman"/>
      <w:sz w:val="20"/>
      <w:szCs w:val="20"/>
      <w:lang w:val="de-DE"/>
    </w:rPr>
  </w:style>
  <w:style w:type="paragraph" w:styleId="Funotentext">
    <w:name w:val="footnote text"/>
    <w:basedOn w:val="Standard"/>
    <w:pPr>
      <w:spacing w:before="0" w:line="240" w:lineRule="auto"/>
      <w:jc w:val="left"/>
      <w:textAlignment w:val="auto"/>
    </w:pPr>
    <w:rPr>
      <w:rFonts w:ascii="Times New Roman" w:eastAsia="Times New Roman" w:hAnsi="Times New Roman" w:cs="Times New Roman"/>
      <w:sz w:val="20"/>
      <w:szCs w:val="20"/>
    </w:rPr>
  </w:style>
  <w:style w:type="character" w:customStyle="1" w:styleId="berschrift1Zchn">
    <w:name w:val="Überschrift 1 Zchn"/>
    <w:basedOn w:val="Absatz-Standardschriftart"/>
    <w:rPr>
      <w:rFonts w:ascii="Fira Sans" w:eastAsia="Calibri" w:hAnsi="Fira Sans" w:cs="Tahoma"/>
      <w:b/>
      <w:color w:val="F79646"/>
      <w:sz w:val="28"/>
      <w:szCs w:val="32"/>
    </w:rPr>
  </w:style>
  <w:style w:type="character" w:customStyle="1" w:styleId="berschrift2Zchn">
    <w:name w:val="Überschrift 2 Zchn"/>
    <w:basedOn w:val="Absatz-Standardschriftart"/>
    <w:rPr>
      <w:rFonts w:ascii="Fira Sans" w:eastAsia="Calibri" w:hAnsi="Fira Sans" w:cs="Tahoma"/>
      <w:b/>
      <w:color w:val="F79646"/>
      <w:sz w:val="26"/>
      <w:szCs w:val="26"/>
    </w:rPr>
  </w:style>
  <w:style w:type="character" w:customStyle="1" w:styleId="berschrift3Zchn">
    <w:name w:val="Überschrift 3 Zchn"/>
    <w:basedOn w:val="Absatz-Standardschriftart"/>
    <w:rPr>
      <w:rFonts w:ascii="Fira Sans" w:eastAsia="Calibri" w:hAnsi="Fira Sans" w:cs="Tahoma"/>
      <w:color w:val="F79646"/>
      <w:sz w:val="24"/>
      <w:szCs w:val="24"/>
    </w:rPr>
  </w:style>
  <w:style w:type="character" w:customStyle="1" w:styleId="berschrift4Zchn">
    <w:name w:val="Überschrift 4 Zchn"/>
    <w:basedOn w:val="Absatz-Standardschriftart"/>
    <w:rPr>
      <w:rFonts w:ascii="Fira Sans" w:eastAsia="Calibri" w:hAnsi="Fira Sans" w:cs="Tahoma"/>
      <w:iCs/>
      <w:color w:val="F79646"/>
    </w:rPr>
  </w:style>
  <w:style w:type="character" w:customStyle="1" w:styleId="TitelZchn">
    <w:name w:val="Titel Zchn"/>
    <w:basedOn w:val="Absatz-Standardschriftart"/>
    <w:rPr>
      <w:rFonts w:ascii="Fira Sans" w:eastAsia="Calibri" w:hAnsi="Fira Sans" w:cs="Tahoma"/>
      <w:b/>
      <w:color w:val="F79646"/>
      <w:sz w:val="38"/>
      <w:szCs w:val="56"/>
    </w:rPr>
  </w:style>
  <w:style w:type="character" w:styleId="Fett">
    <w:name w:val="Strong"/>
    <w:basedOn w:val="Absatz-Standardschriftart"/>
    <w:rPr>
      <w:b/>
      <w:bCs/>
    </w:rPr>
  </w:style>
  <w:style w:type="character" w:styleId="Hervorhebung">
    <w:name w:val="Emphasis"/>
    <w:basedOn w:val="Absatz-Standardschriftart"/>
    <w:rPr>
      <w:i/>
      <w:iCs/>
    </w:rPr>
  </w:style>
  <w:style w:type="character" w:styleId="IntensiveHervorhebung">
    <w:name w:val="Intense Emphasis"/>
    <w:basedOn w:val="Absatz-Standardschriftart"/>
    <w:rPr>
      <w:rFonts w:ascii="Libertinus Serif" w:eastAsia="Libertinus Serif" w:hAnsi="Libertinus Serif" w:cs="Libertinus Serif"/>
      <w:b/>
      <w:bCs/>
      <w:i/>
      <w:iCs/>
      <w:color w:val="auto"/>
    </w:rPr>
  </w:style>
  <w:style w:type="character" w:customStyle="1" w:styleId="ZitatZchn">
    <w:name w:val="Zitat Zchn"/>
    <w:basedOn w:val="Absatz-Standardschriftart"/>
    <w:rPr>
      <w:rFonts w:ascii="Libertinus Serif" w:eastAsia="Libertinus Serif" w:hAnsi="Libertinus Serif" w:cs="Libertinus Serif"/>
      <w:iCs/>
      <w:sz w:val="20"/>
    </w:rPr>
  </w:style>
  <w:style w:type="character" w:customStyle="1" w:styleId="UntertitelZchn">
    <w:name w:val="Untertitel Zchn"/>
    <w:basedOn w:val="Absatz-Standardschriftart"/>
    <w:rPr>
      <w:rFonts w:ascii="Fira Sans" w:eastAsia="Calibri" w:hAnsi="Fira Sans" w:cs="Fira Sans"/>
      <w:b/>
      <w:color w:val="5A5A5A"/>
      <w:spacing w:val="15"/>
      <w:sz w:val="28"/>
    </w:rPr>
  </w:style>
  <w:style w:type="character" w:customStyle="1" w:styleId="KopfzeileZchn">
    <w:name w:val="Kopfzeile Zchn"/>
    <w:basedOn w:val="Absatz-Standardschriftart"/>
    <w:rPr>
      <w:rFonts w:ascii="Times New Roman" w:eastAsia="Times New Roman" w:hAnsi="Times New Roman" w:cs="Times New Roman"/>
      <w:sz w:val="24"/>
    </w:rPr>
  </w:style>
  <w:style w:type="character" w:customStyle="1" w:styleId="FuzeileZchn">
    <w:name w:val="Fußzeile Zchn"/>
    <w:basedOn w:val="Absatz-Standardschriftart"/>
    <w:rPr>
      <w:rFonts w:ascii="Times New Roman" w:eastAsia="Times New Roman" w:hAnsi="Times New Roman" w:cs="Times New Roman"/>
      <w:sz w:val="24"/>
    </w:rPr>
  </w:style>
  <w:style w:type="character" w:customStyle="1" w:styleId="Funotenzeichen-Text">
    <w:name w:val="Fußnotenzeichen-Text"/>
    <w:rPr>
      <w:position w:val="0"/>
      <w:vertAlign w:val="superscript"/>
    </w:rPr>
  </w:style>
  <w:style w:type="character" w:customStyle="1" w:styleId="Internetlink">
    <w:name w:val="Internet link"/>
    <w:basedOn w:val="Absatz-Standardschriftart"/>
    <w:rPr>
      <w:color w:val="000080"/>
      <w:w w:val="100"/>
      <w:u w:val="thick" w:color="000080"/>
    </w:rPr>
  </w:style>
  <w:style w:type="character" w:styleId="Seitenzahl">
    <w:name w:val="page number"/>
    <w:basedOn w:val="Absatz-Standardschriftart"/>
  </w:style>
  <w:style w:type="character" w:customStyle="1" w:styleId="FunotentextZchn">
    <w:name w:val="Fußnotentext Zchn"/>
    <w:basedOn w:val="Absatz-Standardschriftart"/>
    <w:rPr>
      <w:rFonts w:ascii="Times New Roman" w:eastAsia="Times New Roman" w:hAnsi="Times New Roman" w:cs="Times New Roman"/>
      <w:sz w:val="20"/>
      <w:szCs w:val="20"/>
    </w:rPr>
  </w:style>
  <w:style w:type="character" w:customStyle="1" w:styleId="IntensivesZitatZchn">
    <w:name w:val="Intensives Zitat Zchn"/>
    <w:basedOn w:val="Absatz-Standardschriftart"/>
    <w:rPr>
      <w:rFonts w:ascii="Libertinus Serif" w:eastAsia="Libertinus Serif" w:hAnsi="Libertinus Serif" w:cs="Libertinus Serif"/>
      <w:bCs/>
      <w:sz w:val="20"/>
    </w:rPr>
  </w:style>
  <w:style w:type="character" w:customStyle="1" w:styleId="KapitlchenSmallCapital">
    <w:name w:val="Kapitälchen/Small Capital"/>
    <w:basedOn w:val="Absatz-Standardschriftart"/>
    <w:rPr>
      <w:smallCaps/>
    </w:rPr>
  </w:style>
  <w:style w:type="character" w:customStyle="1" w:styleId="BulletSymbols">
    <w:name w:val="Bullet Symbols"/>
    <w:rPr>
      <w:rFonts w:ascii="OpenSymbol" w:eastAsia="OpenSymbol" w:hAnsi="OpenSymbol" w:cs="OpenSymbol"/>
    </w:rPr>
  </w:style>
  <w:style w:type="character" w:customStyle="1" w:styleId="FootnoteSymbol">
    <w:name w:val="Footnote Symbol"/>
    <w:basedOn w:val="Absatz-Standardschriftart"/>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NumberingSymbols">
    <w:name w:val="Numbering Symbols"/>
  </w:style>
  <w:style w:type="character" w:styleId="Hyperlink">
    <w:name w:val="Hyperlink"/>
    <w:basedOn w:val="Absatz-Standardschriftart"/>
    <w:rPr>
      <w:color w:val="0000FF"/>
      <w:u w:val="single"/>
    </w:rPr>
  </w:style>
  <w:style w:type="character" w:styleId="NichtaufgelsteErwhnung">
    <w:name w:val="Unresolved Mention"/>
    <w:basedOn w:val="Absatz-Standardschriftart"/>
    <w:rPr>
      <w:color w:val="605E5C"/>
      <w:shd w:val="clear" w:color="auto" w:fill="E1DFDD"/>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ascii="Calibri" w:eastAsia="Calibri" w:hAnsi="Calibri" w:cs="Times New Roman"/>
      <w:sz w:val="20"/>
      <w:szCs w:val="20"/>
      <w:lang w:val="de-DE"/>
    </w:rPr>
  </w:style>
  <w:style w:type="character" w:customStyle="1" w:styleId="FunotentextZchn1">
    <w:name w:val="Fußnotentext Zchn1"/>
    <w:basedOn w:val="Absatz-Standardschriftart"/>
    <w:rPr>
      <w:rFonts w:ascii="Libertinus Serif" w:eastAsia="Libertinus Serif" w:hAnsi="Libertinus Serif" w:cs="Libertinus Serif"/>
      <w:sz w:val="20"/>
      <w:szCs w:val="20"/>
    </w:rPr>
  </w:style>
  <w:style w:type="character" w:styleId="Funotenzeichen">
    <w:name w:val="footnote reference"/>
    <w:basedOn w:val="Absatz-Standardschriftart"/>
    <w:rPr>
      <w:position w:val="0"/>
      <w:vertAlign w:val="superscript"/>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riesch@studserv.uni-leipzi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esch@hhu.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liver.czulo@uni-leipzig.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sw.phil.hhu.de/framenet/frame?id=1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5385</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Triesch, Susanne; Czulo, Oliver</dc:creator>
  <cp:lastModifiedBy>Triesch, Susanne</cp:lastModifiedBy>
  <cp:revision>2</cp:revision>
  <cp:lastPrinted>2023-03-11T11:57:00Z</cp:lastPrinted>
  <dcterms:created xsi:type="dcterms:W3CDTF">2023-04-21T09:27:00Z</dcterms:created>
  <dcterms:modified xsi:type="dcterms:W3CDTF">2023-04-21T09:27:00Z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ZOTERO_BREF_0sVWis3f4vrG_1">
    <vt:lpwstr>ZOTERO_ITEM CSL_CITATION {"citationID":"cNfOT9B7","properties":{"formattedCitation":"(Haspelmath 1993, p. 207)","plainCitation":"(Haspelmath 1993, p. 207)","noteIndex":0},"citationItems":[{"id":63066,"uris":["http://zotero.org/users/7800386/items/H2JQ756D</vt:lpwstr>
  </property>
  <property fmtid="{D5CDD505-2E9C-101B-9397-08002B2CF9AE}" pid="5" name="ZOTERO_BREF_0sVWis3f4vrG_2">
    <vt:lpwstr>"],"itemData":{"id":63066,"type":"article-journal","container-title":"New York","journalAbbreviation":"New York","title":"A grammar of Lezgian.(Mouton Grammar Library, 9). Berlin","author":[{"family":"Haspelmath","given":"M"}],"issued":{"date-parts":[["19</vt:lpwstr>
  </property>
  <property fmtid="{D5CDD505-2E9C-101B-9397-08002B2CF9AE}" pid="6" name="ZOTERO_BREF_0sVWis3f4vrG_3">
    <vt:lpwstr>93"]]}},"locator":"207","label":"page"}],"schema":"https://github.com/citation-style-language/schema/raw/master/csl-citation.json"}</vt:lpwstr>
  </property>
  <property fmtid="{D5CDD505-2E9C-101B-9397-08002B2CF9AE}" pid="7" name="ZOTERO_BREF_ScWPDzRVRHh0_1">
    <vt:lpwstr>ZOTERO_ITEM CSL_CITATION {"citationID":"Oz3G59Pn","properties":{"formattedCitation":"(Teich 2003)","plainCitation":"(Teich 2003)","noteIndex":0},"citationItems":[{"id":63049,"uris":["http://zotero.org/users/7800386/items/L78RLSNM"],"itemData":{"id":63049,</vt:lpwstr>
  </property>
  <property fmtid="{D5CDD505-2E9C-101B-9397-08002B2CF9AE}" pid="8" name="ZOTERO_BREF_ScWPDzRVRHh0_2">
    <vt:lpwstr>"type":"book","event-place":"Berlin","publisher":"Mouton de Gruyter","publisher-place":"Berlin","title":"Cross-Linguistic Variation in System and Text: A Methodology for the Investigation of Translations and Comparable Texts","author":[{"family":"Teich","</vt:lpwstr>
  </property>
  <property fmtid="{D5CDD505-2E9C-101B-9397-08002B2CF9AE}" pid="9" name="ZOTERO_BREF_ScWPDzRVRHh0_3">
    <vt:lpwstr>given":"Elke"}],"issued":{"date-parts":[["2003"]]}}}],"schema":"https://github.com/citation-style-language/schema/raw/master/csl-citation.json"}</vt:lpwstr>
  </property>
  <property fmtid="{D5CDD505-2E9C-101B-9397-08002B2CF9AE}" pid="10" name="ZOTERO_BREF_V5TMI0czrpa0_1">
    <vt:lpwstr>ZOTERO_ITEM CSL_CITATION {"citationID":"BRvaGgo9","properties":{"formattedCitation":"(Bickel/Comrie/Haspelmath 2015)","plainCitation":"(Bickel/Comrie/Haspelmath 2015)","noteIndex":0},"citationItems":[{"id":63065,"uris":["http://zotero.org/users/7800386/it</vt:lpwstr>
  </property>
  <property fmtid="{D5CDD505-2E9C-101B-9397-08002B2CF9AE}" pid="11" name="ZOTERO_BREF_V5TMI0czrpa0_2">
    <vt:lpwstr>ems/XDMEJRBJ"],"itemData":{"id":63065,"type":"document","note":"Revised version of May 31, 2015","title":"The Leipzig glossing rules: Conventions for interlinear morpheme-by-morpheme glosses","URL":"https://www.eva.mpg.de/lingua/pdf/Glossing-Rules.pdf","a</vt:lpwstr>
  </property>
  <property fmtid="{D5CDD505-2E9C-101B-9397-08002B2CF9AE}" pid="12" name="ZOTERO_BREF_V5TMI0czrpa0_3">
    <vt:lpwstr>uthor":[{"family":"Bickel","given":"Balthasar"},{"family":"Comrie","given":"Bernard"},{"family":"Haspelmath","given":"Martin"}],"accessed":{"date-parts":[["2023",3,8]]},"issued":{"date-parts":[["2015"]]}}}],"schema":"https://github.com/citation-style-lang</vt:lpwstr>
  </property>
  <property fmtid="{D5CDD505-2E9C-101B-9397-08002B2CF9AE}" pid="13" name="ZOTERO_BREF_V5TMI0czrpa0_4">
    <vt:lpwstr>uage/schema/raw/master/csl-citation.json"}</vt:lpwstr>
  </property>
  <property fmtid="{D5CDD505-2E9C-101B-9397-08002B2CF9AE}" pid="14" name="ZOTERO_BREF_hAC7oUOtVeE8_1">
    <vt:lpwstr>ZOTERO_ITEM CSL_CITATION {"citationID":"BOYKEc9w","properties":{"formattedCitation":"(Cappelle/Mostrov/Tayalati 2021, p. 82)","plainCitation":"(Cappelle/Mostrov/Tayalati 2021, p. 82)","noteIndex":0},"citationItems":[{"id":63059,"uris":["http://zotero.org/</vt:lpwstr>
  </property>
  <property fmtid="{D5CDD505-2E9C-101B-9397-08002B2CF9AE}" pid="15" name="ZOTERO_BREF_hAC7oUOtVeE8_2">
    <vt:lpwstr>users/7800386/items/IJ9ABV2D"],"itemData":{"id":63059,"type":"article-journal","abstract":"Abstract This study focuses on French and English abstract nouns denoting properties that can be ascribed to humans, such as beauty, carefulness and anger. Previous</vt:lpwstr>
  </property>
  <property fmtid="{D5CDD505-2E9C-101B-9397-08002B2CF9AE}" pid="16" name="ZOTERO_BREF_hAC7oUOtVeE8_3">
    <vt:lpwstr> research showed that some but not all of these nouns are licensed in both locative existentials (e.g., There’s an intense anger in Isabella) and possessive existentials (e.g., Isabella has an intense anger). What remains unclear is how these and other pa</vt:lpwstr>
  </property>
  <property fmtid="{D5CDD505-2E9C-101B-9397-08002B2CF9AE}" pid="17" name="ZOTERO_BREF_hAC7oUOtVeE8_4">
    <vt:lpwstr>tterns correlate among themselves depending on how easily they host such nouns. We here use speaker ratings of these nouns in different constructional environments. A principal component analysis suggests that the main dimension underlying native speakers</vt:lpwstr>
  </property>
  <property fmtid="{D5CDD505-2E9C-101B-9397-08002B2CF9AE}" pid="18" name="ZOTERO_BREF_hAC7oUOtVeE8_5">
    <vt:lpwstr>’ ratings of these abstract nouns in six different patterns is temporal limitability. This gradable distinction, strongly correlated with the locative existential, holds for both the French and English data and outweighs any French-English contrastive dif</vt:lpwstr>
  </property>
  <property fmtid="{D5CDD505-2E9C-101B-9397-08002B2CF9AE}" pid="19" name="ZOTERO_BREF_hAC7oUOtVeE8_6">
    <vt:lpwstr>ferences in how acceptable human property nouns are considered to be in the patterns studied.","container-title":"Languages in Contrast","DOI":"10.1075/lic.19006.cap","ISSN":"1387-6759","issue":"1","journalAbbreviation":"Lang. Contrast","note":"publisher:</vt:lpwstr>
  </property>
  <property fmtid="{D5CDD505-2E9C-101B-9397-08002B2CF9AE}" pid="20" name="ZOTERO_BREF_hAC7oUOtVeE8_7">
    <vt:lpwstr> John Benjamins Publishing Company","page":"82-111","title":"Temperaments, tempers, and temporality","volume":"21","author":[{"family":"Cappelle","given":"Bert"},{"family":"Mostrov","given":"Vassil"},{"family":"Tayalati","given":"Fayssal"}],"issued":{"dat</vt:lpwstr>
  </property>
  <property fmtid="{D5CDD505-2E9C-101B-9397-08002B2CF9AE}" pid="21" name="ZOTERO_BREF_hAC7oUOtVeE8_8">
    <vt:lpwstr>e-parts":[["2021",1,26]]}},"locator":"82","label":"page"}],"schema":"https://github.com/citation-style-language/schema/raw/master/csl-citation.json"}</vt:lpwstr>
  </property>
  <property fmtid="{D5CDD505-2E9C-101B-9397-08002B2CF9AE}" pid="22" name="ZOTERO_BREF_nOh0h30CRAuA_1">
    <vt:lpwstr>ZOTERO_ITEM CSL_CITATION {"citationID":"EiAJUOGU","properties":{"formattedCitation":"(Ernst 1994; Greenbaum 1996, pp. 2\\uc0\\u8211{}3)","plainCitation":"(Ernst 1994; Greenbaum 1996, pp. 2–3)","noteIndex":0},"citationItems":[{"id":63067,"uris":["http://zo</vt:lpwstr>
  </property>
  <property fmtid="{D5CDD505-2E9C-101B-9397-08002B2CF9AE}" pid="23" name="ZOTERO_BREF_nOh0h30CRAuA_2">
    <vt:lpwstr>tero.org/users/7800386/items/BX9I3NPY"],"itemData":{"id":63067,"type":"thesis","genre":"Master's Thesis","publisher":"Department of Philosophy, Kings College, University of London","title":"Meaning and Mind in Monkeys","author":[{"family":"Ernst","given":</vt:lpwstr>
  </property>
  <property fmtid="{D5CDD505-2E9C-101B-9397-08002B2CF9AE}" pid="24" name="ZOTERO_BREF_nOh0h30CRAuA_3">
    <vt:lpwstr>"Pascal"}],"issued":{"date-parts":[["1994"]]}}},{"id":63045,"uris":["http://zotero.org/users/7800386/items/VPV5CQC5"],"itemData":{"id":63045,"type":"book","event-place":"Oxford","publisher":"Clarendon Press","publisher-place":"Oxford","title":"Comparing E</vt:lpwstr>
  </property>
  <property fmtid="{D5CDD505-2E9C-101B-9397-08002B2CF9AE}" pid="25" name="ZOTERO_BREF_nOh0h30CRAuA_4">
    <vt:lpwstr>nglish Worldwide: The International Corpus of English","editor":[{"family":"Greenbaum","given":"Sidney"}],"issued":{"date-parts":[["1996"]]}},"locator":"2-3","label":"page"}],"schema":"https://github.com/citation-style-language/schema/raw/master/csl-citat</vt:lpwstr>
  </property>
  <property fmtid="{D5CDD505-2E9C-101B-9397-08002B2CF9AE}" pid="26" name="ZOTERO_BREF_nOh0h30CRAuA_5">
    <vt:lpwstr>ion.json"}</vt:lpwstr>
  </property>
  <property fmtid="{D5CDD505-2E9C-101B-9397-08002B2CF9AE}" pid="27" name="ZOTERO_BREF_uTco13lYWpsN_1">
    <vt:lpwstr>ZOTERO_ITEM CSL_CITATION {"citationID":"5sCYlDOo","properties":{"formattedCitation":"(Hasselg\\uc0\\u229{}rd/Johansson 2011)","plainCitation":"(Hasselgård/Johansson 2011)","noteIndex":0},"citationItems":[{"id":63063,"uris":["http://zotero.org/users/780038</vt:lpwstr>
  </property>
  <property fmtid="{D5CDD505-2E9C-101B-9397-08002B2CF9AE}" pid="28" name="ZOTERO_BREF_uTco13lYWpsN_2">
    <vt:lpwstr>6/items/CRCEURAF"],"itemData":{"id":63063,"type":"chapter","collection-title":"Studies in Corpus Linguistics","container-title":"A Taste for Corpora","event-place":"Amsterdam","note":"publisher: John Benjamins","page":"33-61","publisher":"Benjamins","publ</vt:lpwstr>
  </property>
  <property fmtid="{D5CDD505-2E9C-101B-9397-08002B2CF9AE}" pid="29" name="ZOTERO_BREF_uTco13lYWpsN_3">
    <vt:lpwstr>isher-place":"Amsterdam","title":"Learner corpora and contrastive interlanguage analysis","author":[{"family":"Hasselgård","given":"Hilde"},{"family":"Johansson","given":"Stig"}],"editor":[{"family":"Meunier","given":"Fanny"},{"family":"Paquot","given":"M</vt:lpwstr>
  </property>
  <property fmtid="{D5CDD505-2E9C-101B-9397-08002B2CF9AE}" pid="30" name="ZOTERO_BREF_uTco13lYWpsN_4">
    <vt:lpwstr>agali"},{"family":"Gilquin","given":"Gaëtanelle"},{"family":"De Cock","given":"Sylvie"}],"issued":{"date-parts":[["2011"]]}}}],"schema":"https://github.com/citation-style-language/schema/raw/master/csl-citation.json"}</vt:lpwstr>
  </property>
  <property fmtid="{D5CDD505-2E9C-101B-9397-08002B2CF9AE}" pid="31" name="ZOTERO_BREF_xuNV8XID0H2x_1">
    <vt:lpwstr>ZOTERO_BIBL {"uncited":[],"omitted":[],"custom":[]} CSL_BIBLIOGRAPHY</vt:lpwstr>
  </property>
  <property fmtid="{D5CDD505-2E9C-101B-9397-08002B2CF9AE}" pid="32" name="ZOTERO_PREF_1">
    <vt:lpwstr>&lt;data data-version="3" zotero-version="6.0.20"&gt;&lt;session id="xwhqXQ7J"/&gt;&lt;style id="http://www.zotero.org/styles/ICLC-10" locale="en-GB" hasBibliography="1" bibliographyStyleHasBeenSet="1"/&gt;&lt;prefs&gt;&lt;pref name="fieldType" value="ReferenceMark"/&gt;&lt;pref name="au</vt:lpwstr>
  </property>
  <property fmtid="{D5CDD505-2E9C-101B-9397-08002B2CF9AE}" pid="33" name="ZOTERO_PREF_2">
    <vt:lpwstr>tomaticJournalAbbreviations" value="true"/&gt;&lt;/prefs&gt;&lt;/data&gt;</vt:lpwstr>
  </property>
</Properties>
</file>