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C0DAC" w14:textId="77777777" w:rsidR="00AB181E" w:rsidRPr="006E1DEA" w:rsidRDefault="006E1DEA">
      <w:pPr>
        <w:pStyle w:val="Author"/>
        <w:rPr>
          <w:lang w:val="en-US"/>
        </w:rPr>
      </w:pPr>
      <w:r w:rsidRPr="006E1DEA">
        <w:rPr>
          <w:lang w:val="en-US"/>
        </w:rPr>
        <w:t>Anna Pavlova</w:t>
      </w:r>
      <w:r w:rsidR="00224AA6" w:rsidRPr="006E1DEA">
        <w:rPr>
          <w:lang w:val="en-US"/>
        </w:rPr>
        <w:t>/</w:t>
      </w:r>
      <w:r w:rsidRPr="006E1DEA">
        <w:rPr>
          <w:lang w:val="en-US"/>
        </w:rPr>
        <w:t>Katrin Schlund</w:t>
      </w:r>
    </w:p>
    <w:p w14:paraId="7F154EE8" w14:textId="06DFAC54" w:rsidR="00AB181E" w:rsidRDefault="006E1DEA">
      <w:pPr>
        <w:pStyle w:val="Titel"/>
      </w:pPr>
      <w:r w:rsidRPr="006E1DEA">
        <w:t>Two is Better than One</w:t>
      </w:r>
      <w:r w:rsidR="00E830D0">
        <w:t>.</w:t>
      </w:r>
      <w:r w:rsidRPr="006E1DEA">
        <w:t xml:space="preserve"> </w:t>
      </w:r>
    </w:p>
    <w:p w14:paraId="6F8108CC" w14:textId="6C161426" w:rsidR="00AB181E" w:rsidRDefault="009E0DE6">
      <w:pPr>
        <w:pStyle w:val="Untertitel"/>
      </w:pPr>
      <w:r>
        <w:t>Lexical Reduplicates</w:t>
      </w:r>
      <w:r w:rsidR="006E1DEA" w:rsidRPr="006E1DEA">
        <w:t xml:space="preserve"> in Russian and their Equivalents in German</w:t>
      </w:r>
    </w:p>
    <w:p w14:paraId="443B7751" w14:textId="6693AD6E" w:rsidR="00AB181E" w:rsidRDefault="00224AA6">
      <w:pPr>
        <w:pStyle w:val="Keywords"/>
        <w:jc w:val="left"/>
      </w:pPr>
      <w:r>
        <w:rPr>
          <w:b/>
          <w:szCs w:val="20"/>
        </w:rPr>
        <w:t>Keywords:</w:t>
      </w:r>
      <w:r>
        <w:rPr>
          <w:szCs w:val="20"/>
        </w:rPr>
        <w:t xml:space="preserve"> </w:t>
      </w:r>
      <w:r w:rsidR="006E7F4D">
        <w:rPr>
          <w:szCs w:val="20"/>
        </w:rPr>
        <w:t>reduplication;</w:t>
      </w:r>
      <w:r w:rsidR="00112175">
        <w:rPr>
          <w:szCs w:val="20"/>
        </w:rPr>
        <w:t xml:space="preserve"> </w:t>
      </w:r>
      <w:r w:rsidR="009E0DE6">
        <w:rPr>
          <w:szCs w:val="20"/>
        </w:rPr>
        <w:t xml:space="preserve">lexical reduplicates; </w:t>
      </w:r>
      <w:r w:rsidR="00112175">
        <w:rPr>
          <w:szCs w:val="20"/>
        </w:rPr>
        <w:t>word iteration;</w:t>
      </w:r>
      <w:r w:rsidR="006E7F4D">
        <w:rPr>
          <w:szCs w:val="20"/>
        </w:rPr>
        <w:t xml:space="preserve"> lexical cloning; Russian; German</w:t>
      </w:r>
    </w:p>
    <w:p w14:paraId="6886F9EE" w14:textId="77777777" w:rsidR="006E1DEA" w:rsidRPr="006E1DEA" w:rsidRDefault="006E1DEA" w:rsidP="006E1DEA">
      <w:pPr>
        <w:spacing w:before="240" w:after="240" w:line="285" w:lineRule="atLeast"/>
        <w:ind w:firstLine="284"/>
      </w:pPr>
      <w:r w:rsidRPr="006E1DEA">
        <w:t>Reduplication is a universal mechanism exploited for various purposes in natural languages. In its narrower sense, reduplication is the immediate repetition of a word or a morpheme for grammatical or semantic purposes, which may, for instance, result in form building (e.g., plural marking), or word formation (e.g., diminutive marking) (</w:t>
      </w:r>
      <w:proofErr w:type="spellStart"/>
      <w:r w:rsidRPr="006E1DEA">
        <w:t>Rubino</w:t>
      </w:r>
      <w:proofErr w:type="spellEnd"/>
      <w:r w:rsidRPr="006E1DEA">
        <w:t xml:space="preserve"> 2013). </w:t>
      </w:r>
    </w:p>
    <w:p w14:paraId="1D2F00F2" w14:textId="77777777" w:rsidR="006E1DEA" w:rsidRPr="006E1DEA" w:rsidRDefault="006E1DEA" w:rsidP="006E1DEA">
      <w:pPr>
        <w:spacing w:before="240" w:after="240" w:line="285" w:lineRule="atLeast"/>
        <w:ind w:firstLine="284"/>
      </w:pPr>
      <w:r w:rsidRPr="006E1DEA">
        <w:t xml:space="preserve">In a broader sense, reduplication also includes reduplicative patterns serving pragmatic functions (e.g., emphasis, creativity) and non-immediate (syndetic) repetition of elements. This kind of reduplication is particularly widespread in semi-formulaic idiomatic expressions, such as </w:t>
      </w:r>
      <w:r w:rsidRPr="006E1DEA">
        <w:rPr>
          <w:i/>
        </w:rPr>
        <w:t>boys will be boys</w:t>
      </w:r>
      <w:r w:rsidRPr="006E1DEA">
        <w:t xml:space="preserve">, </w:t>
      </w:r>
      <w:proofErr w:type="spellStart"/>
      <w:r w:rsidRPr="006E1DEA">
        <w:rPr>
          <w:i/>
        </w:rPr>
        <w:t>Fragen</w:t>
      </w:r>
      <w:proofErr w:type="spellEnd"/>
      <w:r w:rsidRPr="006E1DEA">
        <w:rPr>
          <w:i/>
        </w:rPr>
        <w:t xml:space="preserve"> </w:t>
      </w:r>
      <w:proofErr w:type="spellStart"/>
      <w:r w:rsidRPr="006E1DEA">
        <w:rPr>
          <w:i/>
        </w:rPr>
        <w:t>über</w:t>
      </w:r>
      <w:proofErr w:type="spellEnd"/>
      <w:r w:rsidRPr="006E1DEA">
        <w:rPr>
          <w:i/>
        </w:rPr>
        <w:t xml:space="preserve"> </w:t>
      </w:r>
      <w:proofErr w:type="spellStart"/>
      <w:r w:rsidRPr="006E1DEA">
        <w:rPr>
          <w:i/>
        </w:rPr>
        <w:t>Fragen</w:t>
      </w:r>
      <w:proofErr w:type="spellEnd"/>
      <w:r w:rsidRPr="006E1DEA">
        <w:t xml:space="preserve"> ‘very many questions’ (German), or </w:t>
      </w:r>
      <w:proofErr w:type="spellStart"/>
      <w:r w:rsidRPr="006E1DEA">
        <w:rPr>
          <w:i/>
        </w:rPr>
        <w:t>guljat</w:t>
      </w:r>
      <w:proofErr w:type="spellEnd"/>
      <w:r w:rsidRPr="006E1DEA">
        <w:rPr>
          <w:i/>
        </w:rPr>
        <w:t xml:space="preserve">’ </w:t>
      </w:r>
      <w:proofErr w:type="spellStart"/>
      <w:r w:rsidRPr="006E1DEA">
        <w:rPr>
          <w:i/>
        </w:rPr>
        <w:t>tak</w:t>
      </w:r>
      <w:proofErr w:type="spellEnd"/>
      <w:r w:rsidRPr="006E1DEA">
        <w:rPr>
          <w:i/>
        </w:rPr>
        <w:t xml:space="preserve"> </w:t>
      </w:r>
      <w:proofErr w:type="spellStart"/>
      <w:r w:rsidRPr="006E1DEA">
        <w:rPr>
          <w:i/>
        </w:rPr>
        <w:t>guljat</w:t>
      </w:r>
      <w:proofErr w:type="spellEnd"/>
      <w:r>
        <w:rPr>
          <w:i/>
        </w:rPr>
        <w:t>’</w:t>
      </w:r>
      <w:r w:rsidRPr="006E1DEA">
        <w:t xml:space="preserve"> ‘a walk is a walk’ (Russian). </w:t>
      </w:r>
    </w:p>
    <w:p w14:paraId="2F440374" w14:textId="51DD5281" w:rsidR="006E7F4D" w:rsidRDefault="006E1DEA" w:rsidP="006E7F4D">
      <w:pPr>
        <w:spacing w:before="240" w:after="240" w:line="285" w:lineRule="atLeast"/>
        <w:ind w:firstLine="284"/>
      </w:pPr>
      <w:r w:rsidRPr="006E1DEA">
        <w:t>Our presentation focuses on a kind of immediate (asyndetic) idiomatic type of reduplication that has come to be known as “contrastive focus reduplication” (CFR) (Ghomeshi et al. 2004), “double” (Dray 1987</w:t>
      </w:r>
      <w:r w:rsidR="00235244">
        <w:t>;</w:t>
      </w:r>
      <w:r w:rsidRPr="006E1DEA">
        <w:t xml:space="preserve"> Horn 1993), “lexical cloning” (Huang 2015</w:t>
      </w:r>
      <w:r w:rsidR="00235244">
        <w:t>;</w:t>
      </w:r>
      <w:r w:rsidRPr="006E1DEA">
        <w:t xml:space="preserve"> Horn 2018)</w:t>
      </w:r>
      <w:r w:rsidR="003C56CD">
        <w:t>, or “word iteration” (Stolz 2008)</w:t>
      </w:r>
      <w:r w:rsidRPr="006E1DEA">
        <w:t>. CFR has been described primarily from the perspective of English (Ghomeshi et al. 2004), but is available also in other languages, including Russian:</w:t>
      </w:r>
    </w:p>
    <w:p w14:paraId="5F45542D" w14:textId="77777777" w:rsidR="006E7F4D" w:rsidRDefault="006E7F4D" w:rsidP="006E7F4D">
      <w:pPr>
        <w:pStyle w:val="Example"/>
        <w:spacing w:before="120"/>
      </w:pPr>
      <w:r w:rsidRPr="006E1DEA">
        <w:t xml:space="preserve">Ona </w:t>
      </w:r>
      <w:proofErr w:type="spellStart"/>
      <w:r w:rsidRPr="006E1DEA">
        <w:t>takaja</w:t>
      </w:r>
      <w:proofErr w:type="spellEnd"/>
      <w:r w:rsidRPr="006E1DEA">
        <w:t xml:space="preserve"> </w:t>
      </w:r>
      <w:proofErr w:type="spellStart"/>
      <w:r w:rsidRPr="006E1DEA">
        <w:t>kisa-kisa</w:t>
      </w:r>
      <w:proofErr w:type="spellEnd"/>
      <w:r w:rsidRPr="006E1DEA">
        <w:t>.</w:t>
      </w:r>
    </w:p>
    <w:p w14:paraId="01BB36CA" w14:textId="77777777" w:rsidR="006E7F4D" w:rsidRDefault="006E7F4D" w:rsidP="006E7F4D">
      <w:pPr>
        <w:pStyle w:val="Example"/>
        <w:numPr>
          <w:ilvl w:val="0"/>
          <w:numId w:val="0"/>
        </w:numPr>
        <w:ind w:left="1393"/>
      </w:pPr>
      <w:r w:rsidRPr="006E1DEA">
        <w:t>‘She is such a kitty-kitty.’</w:t>
      </w:r>
    </w:p>
    <w:p w14:paraId="0631A134" w14:textId="77777777" w:rsidR="006E7F4D" w:rsidRPr="00B06EB0" w:rsidRDefault="006E7F4D" w:rsidP="006E7F4D">
      <w:pPr>
        <w:pStyle w:val="Example"/>
        <w:rPr>
          <w:lang w:val="pl-PL"/>
        </w:rPr>
      </w:pPr>
      <w:r w:rsidRPr="00B06EB0">
        <w:rPr>
          <w:lang w:val="pl-PL"/>
        </w:rPr>
        <w:t xml:space="preserve">U vas prjamo svad’ba-svad’ba byla, ili vy ograničivalis’ registraciej i uzkim semejnym  krugom?  </w:t>
      </w:r>
    </w:p>
    <w:p w14:paraId="3901F5C0" w14:textId="5AB5F275" w:rsidR="006E1DEA" w:rsidRPr="00F2493A" w:rsidRDefault="006E1DEA" w:rsidP="006E7F4D">
      <w:pPr>
        <w:pStyle w:val="Example"/>
        <w:numPr>
          <w:ilvl w:val="0"/>
          <w:numId w:val="0"/>
        </w:numPr>
        <w:ind w:left="1393"/>
        <w:rPr>
          <w:lang w:val="en-US"/>
        </w:rPr>
      </w:pPr>
      <w:r w:rsidRPr="006E7F4D">
        <w:t>‘Did you have a wedding-wedding, or did you limit yourselves to civil ceremony and a small family circle?’ (</w:t>
      </w:r>
      <w:proofErr w:type="spellStart"/>
      <w:r w:rsidRPr="006E7F4D">
        <w:t>Giljarova</w:t>
      </w:r>
      <w:proofErr w:type="spellEnd"/>
      <w:r w:rsidRPr="006E7F4D">
        <w:t xml:space="preserve"> 2010</w:t>
      </w:r>
      <w:r w:rsidR="002E043D">
        <w:t xml:space="preserve">, p. </w:t>
      </w:r>
      <w:r w:rsidRPr="006E7F4D">
        <w:t>92)</w:t>
      </w:r>
    </w:p>
    <w:p w14:paraId="1B3D9784" w14:textId="77D1EC87" w:rsidR="006E1DEA" w:rsidRPr="006E1DEA" w:rsidRDefault="006E1DEA" w:rsidP="006E1DEA">
      <w:pPr>
        <w:spacing w:before="240" w:after="240" w:line="285" w:lineRule="atLeast"/>
        <w:ind w:firstLine="284"/>
      </w:pPr>
      <w:r w:rsidRPr="006E1DEA">
        <w:t xml:space="preserve">Russian CFR </w:t>
      </w:r>
      <w:r w:rsidRPr="009E0DE6">
        <w:t>does not necessarily imply a contrastive focus (cf. example (1)), which is why we prefer the label “</w:t>
      </w:r>
      <w:r w:rsidR="009E0DE6" w:rsidRPr="009E0DE6">
        <w:t>L</w:t>
      </w:r>
      <w:r w:rsidR="00F2493A" w:rsidRPr="009E0DE6">
        <w:t xml:space="preserve">exical </w:t>
      </w:r>
      <w:r w:rsidR="009E0DE6" w:rsidRPr="009E0DE6">
        <w:t>R</w:t>
      </w:r>
      <w:r w:rsidR="00F2493A" w:rsidRPr="009E0DE6">
        <w:t>eduplicates</w:t>
      </w:r>
      <w:r w:rsidRPr="009E0DE6">
        <w:t>” (</w:t>
      </w:r>
      <w:r w:rsidR="00F2493A" w:rsidRPr="009E0DE6">
        <w:t>LR</w:t>
      </w:r>
      <w:r w:rsidRPr="009E0DE6">
        <w:t>). In (1), the reduplication intensifies the property metaphorically attributed to the subject referent</w:t>
      </w:r>
      <w:r w:rsidRPr="006E1DEA">
        <w:t xml:space="preserve">. Example (2) illustrates a newly emerging type of reduplication in Russian, which indicates a prototype reading of the referent denoted by the reduplicative form. Although the above examples cannot be translated by means of </w:t>
      </w:r>
      <w:r w:rsidR="009E0DE6">
        <w:t>LR</w:t>
      </w:r>
      <w:r w:rsidRPr="006E1DEA">
        <w:t xml:space="preserve"> into German, examples like (3) </w:t>
      </w:r>
      <w:r w:rsidR="00B06EB0">
        <w:t>do occur in German as well</w:t>
      </w:r>
      <w:r w:rsidRPr="006E1DEA">
        <w:t xml:space="preserve"> (contra Ghomeshi et al. 2004</w:t>
      </w:r>
      <w:r w:rsidR="002E043D">
        <w:t xml:space="preserve">, p. </w:t>
      </w:r>
      <w:r w:rsidRPr="006E1DEA">
        <w:t>312):</w:t>
      </w:r>
    </w:p>
    <w:p w14:paraId="24EA662A" w14:textId="77777777" w:rsidR="006E7F4D" w:rsidRDefault="006E1DEA" w:rsidP="006E7F4D">
      <w:pPr>
        <w:pStyle w:val="Example"/>
        <w:rPr>
          <w:lang w:val="de-DE"/>
        </w:rPr>
      </w:pPr>
      <w:r w:rsidRPr="006E7F4D">
        <w:rPr>
          <w:lang w:val="de-DE"/>
        </w:rPr>
        <w:t xml:space="preserve">Ich will Kaffee-Kaffee und nicht diese Instantbrühe! </w:t>
      </w:r>
    </w:p>
    <w:p w14:paraId="4F5E3079" w14:textId="085CE177" w:rsidR="006E1DEA" w:rsidRPr="006E7F4D" w:rsidRDefault="006E1DEA" w:rsidP="006E7F4D">
      <w:pPr>
        <w:pStyle w:val="Example"/>
        <w:numPr>
          <w:ilvl w:val="0"/>
          <w:numId w:val="0"/>
        </w:numPr>
        <w:ind w:left="1393"/>
        <w:rPr>
          <w:lang w:val="en-US"/>
        </w:rPr>
      </w:pPr>
      <w:r w:rsidRPr="006E7F4D">
        <w:rPr>
          <w:lang w:val="en-US"/>
        </w:rPr>
        <w:t>‘I want a coffee-coffee and not this instant brew.’ [small caps in original] (</w:t>
      </w:r>
      <w:proofErr w:type="spellStart"/>
      <w:r w:rsidRPr="006E7F4D">
        <w:rPr>
          <w:lang w:val="en-US"/>
        </w:rPr>
        <w:t>Bross</w:t>
      </w:r>
      <w:proofErr w:type="spellEnd"/>
      <w:r w:rsidR="002E043D">
        <w:rPr>
          <w:lang w:val="en-US"/>
        </w:rPr>
        <w:t>/</w:t>
      </w:r>
      <w:r w:rsidRPr="006E7F4D">
        <w:rPr>
          <w:lang w:val="en-US"/>
        </w:rPr>
        <w:t>Fraser 2020</w:t>
      </w:r>
      <w:r w:rsidR="002E043D">
        <w:rPr>
          <w:lang w:val="en-US"/>
        </w:rPr>
        <w:t>, p.</w:t>
      </w:r>
      <w:r w:rsidRPr="006E7F4D">
        <w:rPr>
          <w:lang w:val="en-US"/>
        </w:rPr>
        <w:t xml:space="preserve"> 3)</w:t>
      </w:r>
    </w:p>
    <w:p w14:paraId="6B767C47" w14:textId="2FCBDD2A" w:rsidR="00F2493A" w:rsidRDefault="006E1DEA" w:rsidP="006E1DEA">
      <w:pPr>
        <w:spacing w:line="285" w:lineRule="atLeast"/>
        <w:ind w:firstLine="284"/>
      </w:pPr>
      <w:r w:rsidRPr="006E7F4D">
        <w:lastRenderedPageBreak/>
        <w:t xml:space="preserve">Our talk presents the new, “prototype reading” of Russian </w:t>
      </w:r>
      <w:r w:rsidR="009E0DE6">
        <w:t>LR</w:t>
      </w:r>
      <w:r w:rsidRPr="006E7F4D">
        <w:t xml:space="preserve">, which, just like the German example given in (3), seems to be motivated by the productivity of this pattern in English. </w:t>
      </w:r>
      <w:r w:rsidR="009E0DE6">
        <w:t>LR</w:t>
      </w:r>
      <w:r w:rsidR="00F2493A">
        <w:t xml:space="preserve"> in German are much less wide-spread than in Russian, which is why instances of Russian </w:t>
      </w:r>
      <w:r w:rsidR="009E0DE6">
        <w:t>LR</w:t>
      </w:r>
      <w:r w:rsidR="00F2493A">
        <w:t xml:space="preserve"> cannot usually be translated as </w:t>
      </w:r>
      <w:r w:rsidR="009E0DE6">
        <w:t>LR</w:t>
      </w:r>
      <w:r w:rsidR="00F2493A">
        <w:t xml:space="preserve"> in German.</w:t>
      </w:r>
    </w:p>
    <w:p w14:paraId="3B8AA655" w14:textId="77777777" w:rsidR="006E1DEA" w:rsidRPr="006E7F4D" w:rsidRDefault="006E1DEA" w:rsidP="006E1DEA">
      <w:pPr>
        <w:spacing w:line="285" w:lineRule="atLeast"/>
        <w:ind w:firstLine="284"/>
      </w:pPr>
      <w:r w:rsidRPr="006E7F4D">
        <w:t xml:space="preserve">Specifically, we will </w:t>
      </w:r>
      <w:r w:rsidR="00F2493A">
        <w:t>address</w:t>
      </w:r>
      <w:r w:rsidRPr="006E7F4D">
        <w:t xml:space="preserve"> to the following questions:</w:t>
      </w:r>
    </w:p>
    <w:p w14:paraId="511BCC24" w14:textId="33ED9011" w:rsidR="006E1DEA" w:rsidRPr="006E7F4D" w:rsidRDefault="006E1DEA" w:rsidP="006E1DEA">
      <w:pPr>
        <w:spacing w:line="285" w:lineRule="atLeast"/>
      </w:pPr>
      <w:r w:rsidRPr="006E7F4D">
        <w:t xml:space="preserve">1) What semantic types of </w:t>
      </w:r>
      <w:r w:rsidR="009E0DE6">
        <w:t>LR</w:t>
      </w:r>
      <w:r w:rsidRPr="006E7F4D">
        <w:t xml:space="preserve"> can be distinguished in Russian and German?</w:t>
      </w:r>
    </w:p>
    <w:p w14:paraId="327362F0" w14:textId="0E14A6D0" w:rsidR="006E1DEA" w:rsidRDefault="006E1DEA" w:rsidP="006E1DEA">
      <w:pPr>
        <w:spacing w:line="285" w:lineRule="atLeast"/>
      </w:pPr>
      <w:r w:rsidRPr="006E7F4D">
        <w:t xml:space="preserve">2) What formal types of </w:t>
      </w:r>
      <w:r w:rsidR="009E0DE6">
        <w:t>LR</w:t>
      </w:r>
      <w:r w:rsidRPr="006E7F4D">
        <w:t xml:space="preserve"> can be distinguished in these languages? This includes an account of what </w:t>
      </w:r>
      <w:proofErr w:type="gramStart"/>
      <w:r w:rsidRPr="006E7F4D">
        <w:t>modifications</w:t>
      </w:r>
      <w:r w:rsidR="00CA5485">
        <w:t>,</w:t>
      </w:r>
      <w:proofErr w:type="gramEnd"/>
      <w:r w:rsidR="00CA5485">
        <w:t xml:space="preserve"> </w:t>
      </w:r>
      <w:r w:rsidRPr="006E7F4D">
        <w:t xml:space="preserve">accent patterns </w:t>
      </w:r>
      <w:r w:rsidR="00CA5485">
        <w:t>and parts of speech are</w:t>
      </w:r>
      <w:r w:rsidRPr="006E7F4D">
        <w:t xml:space="preserve"> available</w:t>
      </w:r>
      <w:r w:rsidR="00CA5485">
        <w:t xml:space="preserve"> in </w:t>
      </w:r>
      <w:r w:rsidR="00B06EB0">
        <w:t>LR</w:t>
      </w:r>
      <w:r w:rsidR="00CA5485">
        <w:t xml:space="preserve">. </w:t>
      </w:r>
    </w:p>
    <w:p w14:paraId="0FA74D35" w14:textId="7FE46CA6" w:rsidR="00F2493A" w:rsidRPr="006E7F4D" w:rsidRDefault="00F2493A" w:rsidP="006E1DEA">
      <w:pPr>
        <w:spacing w:line="285" w:lineRule="atLeast"/>
      </w:pPr>
      <w:r>
        <w:t xml:space="preserve">3) When can Russian </w:t>
      </w:r>
      <w:r w:rsidR="009E0DE6">
        <w:t>LR</w:t>
      </w:r>
      <w:r>
        <w:t xml:space="preserve"> be translated as </w:t>
      </w:r>
      <w:r w:rsidR="009E0DE6">
        <w:t>LR</w:t>
      </w:r>
      <w:r>
        <w:t xml:space="preserve"> in German, and what are the alternatives when a </w:t>
      </w:r>
      <w:r w:rsidR="009E0DE6">
        <w:t>LR</w:t>
      </w:r>
      <w:r>
        <w:t xml:space="preserve"> is not available in German?</w:t>
      </w:r>
    </w:p>
    <w:p w14:paraId="4D170F34" w14:textId="3A962932" w:rsidR="002E043D" w:rsidRDefault="006E1DEA" w:rsidP="00B43064">
      <w:pPr>
        <w:spacing w:line="285" w:lineRule="atLeast"/>
        <w:ind w:firstLine="284"/>
      </w:pPr>
      <w:r w:rsidRPr="006E7F4D">
        <w:t xml:space="preserve">Methodologically, we make use of authentic language material taken, if available, from parallel corpora. As </w:t>
      </w:r>
      <w:r w:rsidR="009E0DE6">
        <w:t>LR</w:t>
      </w:r>
      <w:r w:rsidRPr="006E7F4D">
        <w:t xml:space="preserve"> are rare, a bottom-up approach raises a number of questions related to the methodology of corpus linguistics and translation studies, some of which will be addressed in our talk.</w:t>
      </w:r>
    </w:p>
    <w:p w14:paraId="66C34B9A" w14:textId="77777777" w:rsidR="00AB181E" w:rsidRPr="009E0DE6" w:rsidRDefault="00224AA6">
      <w:pPr>
        <w:pStyle w:val="Rechtsgrundlagenverzeichnis"/>
      </w:pPr>
      <w:r w:rsidRPr="009E0DE6">
        <w:t>References</w:t>
      </w:r>
    </w:p>
    <w:p w14:paraId="57541660" w14:textId="77777777" w:rsidR="009E0DE6" w:rsidRPr="00A80DAF" w:rsidRDefault="009E0DE6" w:rsidP="009E0DE6">
      <w:pPr>
        <w:pStyle w:val="Literaturverzeichnis1"/>
        <w:spacing w:line="240" w:lineRule="auto"/>
        <w:ind w:left="397" w:hanging="397"/>
        <w:rPr>
          <w:rFonts w:asciiTheme="majorHAnsi" w:hAnsiTheme="majorHAnsi" w:cstheme="majorHAnsi"/>
          <w:color w:val="000000" w:themeColor="text1"/>
          <w:sz w:val="20"/>
          <w:szCs w:val="20"/>
        </w:rPr>
      </w:pPr>
      <w:proofErr w:type="spellStart"/>
      <w:r w:rsidRPr="00A80DAF">
        <w:rPr>
          <w:rFonts w:asciiTheme="majorHAnsi" w:eastAsia="Times New Roman" w:hAnsiTheme="majorHAnsi" w:cstheme="majorHAnsi"/>
          <w:color w:val="000000" w:themeColor="text1"/>
          <w:sz w:val="20"/>
          <w:szCs w:val="20"/>
          <w:lang w:val="en-US"/>
        </w:rPr>
        <w:t>Bross</w:t>
      </w:r>
      <w:proofErr w:type="spellEnd"/>
      <w:r w:rsidRPr="00A80DAF">
        <w:rPr>
          <w:rFonts w:asciiTheme="majorHAnsi" w:eastAsia="Times New Roman" w:hAnsiTheme="majorHAnsi" w:cstheme="majorHAnsi"/>
          <w:color w:val="000000" w:themeColor="text1"/>
          <w:sz w:val="20"/>
          <w:szCs w:val="20"/>
          <w:lang w:val="en-US"/>
        </w:rPr>
        <w:t>, Fabian/Fraser</w:t>
      </w:r>
      <w:r>
        <w:rPr>
          <w:rFonts w:asciiTheme="majorHAnsi" w:eastAsia="Times New Roman" w:hAnsiTheme="majorHAnsi" w:cstheme="majorHAnsi"/>
          <w:color w:val="000000" w:themeColor="text1"/>
          <w:sz w:val="20"/>
          <w:szCs w:val="20"/>
          <w:lang w:val="en-US"/>
        </w:rPr>
        <w:t xml:space="preserve">, </w:t>
      </w:r>
      <w:r w:rsidRPr="00A80DAF">
        <w:rPr>
          <w:rFonts w:asciiTheme="majorHAnsi" w:eastAsia="Times New Roman" w:hAnsiTheme="majorHAnsi" w:cstheme="majorHAnsi"/>
          <w:color w:val="000000" w:themeColor="text1"/>
          <w:sz w:val="20"/>
          <w:szCs w:val="20"/>
          <w:lang w:val="en-US"/>
        </w:rPr>
        <w:t xml:space="preserve">Katherine (2020): Contrastive focus reduplication and the modification puzzle. </w:t>
      </w:r>
      <w:r>
        <w:rPr>
          <w:rFonts w:asciiTheme="majorHAnsi" w:eastAsia="Times New Roman" w:hAnsiTheme="majorHAnsi" w:cstheme="majorHAnsi"/>
          <w:color w:val="000000" w:themeColor="text1"/>
          <w:sz w:val="20"/>
          <w:szCs w:val="20"/>
          <w:lang w:val="en-US"/>
        </w:rPr>
        <w:t xml:space="preserve">In: </w:t>
      </w:r>
      <w:r w:rsidRPr="00A80DAF">
        <w:rPr>
          <w:rFonts w:asciiTheme="majorHAnsi" w:eastAsia="Times New Roman" w:hAnsiTheme="majorHAnsi" w:cstheme="majorHAnsi"/>
          <w:i/>
          <w:iCs/>
          <w:color w:val="000000" w:themeColor="text1"/>
          <w:sz w:val="20"/>
          <w:szCs w:val="20"/>
          <w:lang w:val="en-US"/>
        </w:rPr>
        <w:t>Glossa: a journal of general linguistics</w:t>
      </w:r>
      <w:r w:rsidRPr="00A80DAF">
        <w:rPr>
          <w:rFonts w:asciiTheme="majorHAnsi" w:eastAsia="Times New Roman" w:hAnsiTheme="majorHAnsi" w:cstheme="majorHAnsi"/>
          <w:color w:val="000000" w:themeColor="text1"/>
          <w:sz w:val="20"/>
          <w:szCs w:val="20"/>
          <w:lang w:val="en-US"/>
        </w:rPr>
        <w:t>, 5(1), 47, pp. 1–18. https://doi.org/10.5334/gjgl.1075</w:t>
      </w:r>
      <w:r w:rsidRPr="00A80DAF">
        <w:rPr>
          <w:rFonts w:asciiTheme="majorHAnsi" w:eastAsia="Times New Roman" w:hAnsiTheme="majorHAnsi" w:cstheme="majorHAnsi"/>
          <w:i/>
          <w:iCs/>
          <w:color w:val="000000" w:themeColor="text1"/>
          <w:sz w:val="20"/>
          <w:szCs w:val="20"/>
          <w:lang w:val="en-US"/>
        </w:rPr>
        <w:t xml:space="preserve"> </w:t>
      </w:r>
      <w:r w:rsidRPr="00A80DAF">
        <w:rPr>
          <w:rFonts w:asciiTheme="majorHAnsi" w:hAnsiTheme="majorHAnsi" w:cstheme="majorHAnsi"/>
          <w:color w:val="000000" w:themeColor="text1"/>
          <w:sz w:val="20"/>
          <w:szCs w:val="20"/>
        </w:rPr>
        <w:t xml:space="preserve">(last access: </w:t>
      </w:r>
      <w:r>
        <w:rPr>
          <w:rFonts w:asciiTheme="majorHAnsi" w:hAnsiTheme="majorHAnsi" w:cstheme="majorHAnsi"/>
          <w:color w:val="000000" w:themeColor="text1"/>
          <w:sz w:val="20"/>
          <w:szCs w:val="20"/>
        </w:rPr>
        <w:t>0</w:t>
      </w:r>
      <w:r w:rsidRPr="00A80DAF">
        <w:rPr>
          <w:rFonts w:asciiTheme="majorHAnsi" w:hAnsiTheme="majorHAnsi" w:cstheme="majorHAnsi"/>
          <w:color w:val="000000" w:themeColor="text1"/>
          <w:sz w:val="20"/>
          <w:szCs w:val="20"/>
        </w:rPr>
        <w:t>8.05.2023).</w:t>
      </w:r>
    </w:p>
    <w:p w14:paraId="4FEB4EDE" w14:textId="77777777" w:rsidR="009E0DE6" w:rsidRPr="00A80DAF" w:rsidRDefault="009E0DE6" w:rsidP="009E0DE6">
      <w:pPr>
        <w:spacing w:before="0" w:line="240" w:lineRule="auto"/>
        <w:ind w:left="709" w:hanging="709"/>
        <w:rPr>
          <w:rFonts w:asciiTheme="majorHAnsi" w:eastAsia="Times New Roman" w:hAnsiTheme="majorHAnsi" w:cstheme="majorHAnsi"/>
          <w:i/>
          <w:iCs/>
          <w:color w:val="000000" w:themeColor="text1"/>
          <w:sz w:val="20"/>
          <w:szCs w:val="20"/>
          <w:lang w:val="en-US"/>
        </w:rPr>
      </w:pPr>
      <w:r w:rsidRPr="00A80DAF">
        <w:rPr>
          <w:rFonts w:asciiTheme="majorHAnsi" w:eastAsiaTheme="minorHAnsi" w:hAnsiTheme="majorHAnsi" w:cstheme="majorHAnsi"/>
          <w:color w:val="000000" w:themeColor="text1"/>
          <w:sz w:val="20"/>
          <w:szCs w:val="20"/>
          <w:lang w:val="en-US"/>
        </w:rPr>
        <w:t xml:space="preserve">Dray, Nancy (1987): </w:t>
      </w:r>
      <w:r w:rsidRPr="00A80DAF">
        <w:rPr>
          <w:rFonts w:asciiTheme="majorHAnsi" w:eastAsiaTheme="minorHAnsi" w:hAnsiTheme="majorHAnsi" w:cstheme="majorHAnsi"/>
          <w:i/>
          <w:iCs/>
          <w:color w:val="000000" w:themeColor="text1"/>
          <w:sz w:val="20"/>
          <w:szCs w:val="20"/>
          <w:lang w:val="en-US"/>
        </w:rPr>
        <w:t>Doubles and Modifiers in English</w:t>
      </w:r>
      <w:r w:rsidRPr="00A80DAF">
        <w:rPr>
          <w:rFonts w:asciiTheme="majorHAnsi" w:eastAsiaTheme="minorHAnsi" w:hAnsiTheme="majorHAnsi" w:cstheme="majorHAnsi"/>
          <w:color w:val="000000" w:themeColor="text1"/>
          <w:sz w:val="20"/>
          <w:szCs w:val="20"/>
          <w:lang w:val="en-US"/>
        </w:rPr>
        <w:t>. Unpublished MA thesis, University of Chicago.</w:t>
      </w:r>
    </w:p>
    <w:p w14:paraId="113D8D5E" w14:textId="77777777" w:rsidR="009E0DE6" w:rsidRPr="00A80DAF" w:rsidRDefault="009E0DE6" w:rsidP="009E0DE6">
      <w:pPr>
        <w:spacing w:before="0" w:line="240" w:lineRule="auto"/>
        <w:ind w:left="709" w:hanging="709"/>
        <w:rPr>
          <w:rFonts w:asciiTheme="majorHAnsi" w:eastAsia="Times New Roman" w:hAnsiTheme="majorHAnsi" w:cstheme="majorHAnsi"/>
          <w:color w:val="000000" w:themeColor="text1"/>
          <w:sz w:val="20"/>
          <w:szCs w:val="20"/>
          <w:lang w:val="en-US"/>
        </w:rPr>
      </w:pPr>
      <w:r w:rsidRPr="00A80DAF">
        <w:rPr>
          <w:rFonts w:asciiTheme="majorHAnsi" w:eastAsia="Times New Roman" w:hAnsiTheme="majorHAnsi" w:cstheme="majorHAnsi"/>
          <w:color w:val="000000" w:themeColor="text1"/>
          <w:sz w:val="20"/>
          <w:szCs w:val="20"/>
          <w:lang w:val="en-US"/>
        </w:rPr>
        <w:t xml:space="preserve">Ghomeshi, </w:t>
      </w:r>
      <w:proofErr w:type="spellStart"/>
      <w:r w:rsidRPr="00A80DAF">
        <w:rPr>
          <w:rFonts w:asciiTheme="majorHAnsi" w:eastAsia="Times New Roman" w:hAnsiTheme="majorHAnsi" w:cstheme="majorHAnsi"/>
          <w:color w:val="000000" w:themeColor="text1"/>
          <w:sz w:val="20"/>
          <w:szCs w:val="20"/>
          <w:lang w:val="en-US"/>
        </w:rPr>
        <w:t>Jila</w:t>
      </w:r>
      <w:proofErr w:type="spellEnd"/>
      <w:r w:rsidRPr="00A80DAF">
        <w:rPr>
          <w:rFonts w:asciiTheme="majorHAnsi" w:eastAsia="Times New Roman" w:hAnsiTheme="majorHAnsi" w:cstheme="majorHAnsi"/>
          <w:color w:val="000000" w:themeColor="text1"/>
          <w:sz w:val="20"/>
          <w:szCs w:val="20"/>
          <w:lang w:val="en-US"/>
        </w:rPr>
        <w:t>/</w:t>
      </w:r>
      <w:proofErr w:type="spellStart"/>
      <w:r w:rsidRPr="00A80DAF">
        <w:rPr>
          <w:rFonts w:asciiTheme="majorHAnsi" w:eastAsia="Times New Roman" w:hAnsiTheme="majorHAnsi" w:cstheme="majorHAnsi"/>
          <w:color w:val="000000" w:themeColor="text1"/>
          <w:sz w:val="20"/>
          <w:szCs w:val="20"/>
          <w:lang w:val="en-US"/>
        </w:rPr>
        <w:t>Jackendoff</w:t>
      </w:r>
      <w:proofErr w:type="spellEnd"/>
      <w:r w:rsidRPr="00A80DAF">
        <w:rPr>
          <w:rFonts w:asciiTheme="majorHAnsi" w:eastAsia="Times New Roman" w:hAnsiTheme="majorHAnsi" w:cstheme="majorHAnsi"/>
          <w:color w:val="000000" w:themeColor="text1"/>
          <w:sz w:val="20"/>
          <w:szCs w:val="20"/>
          <w:lang w:val="en-US"/>
        </w:rPr>
        <w:t xml:space="preserve">, Ray/Rosen, Nicole/Russell, Kevin (2004): Contrastive focus reduplication in English (the salad-salad paper). In: </w:t>
      </w:r>
      <w:r w:rsidRPr="00A80DAF">
        <w:rPr>
          <w:rFonts w:asciiTheme="majorHAnsi" w:eastAsia="Times New Roman" w:hAnsiTheme="majorHAnsi" w:cstheme="majorHAnsi"/>
          <w:i/>
          <w:iCs/>
          <w:color w:val="000000" w:themeColor="text1"/>
          <w:sz w:val="20"/>
          <w:szCs w:val="20"/>
          <w:lang w:val="en-US"/>
        </w:rPr>
        <w:t>Natural Language &amp; Linguistic Theory</w:t>
      </w:r>
      <w:r w:rsidRPr="00A80DAF">
        <w:rPr>
          <w:rFonts w:asciiTheme="majorHAnsi" w:eastAsia="Times New Roman" w:hAnsiTheme="majorHAnsi" w:cstheme="majorHAnsi"/>
          <w:color w:val="000000" w:themeColor="text1"/>
          <w:sz w:val="20"/>
          <w:szCs w:val="20"/>
          <w:lang w:val="en-US"/>
        </w:rPr>
        <w:t xml:space="preserve">, 22(2), pp. 307–357. </w:t>
      </w:r>
      <w:r w:rsidRPr="00A80DAF">
        <w:rPr>
          <w:rFonts w:asciiTheme="majorHAnsi" w:eastAsia="Times New Roman" w:hAnsiTheme="majorHAnsi" w:cstheme="majorHAnsi"/>
          <w:color w:val="000000" w:themeColor="text1"/>
          <w:sz w:val="20"/>
          <w:szCs w:val="20"/>
          <w:u w:color="000080"/>
          <w:lang w:val="en-US"/>
        </w:rPr>
        <w:t>https://ase.tufts.edu/cogstud/jackendoff/papers/salad-salad.pdf</w:t>
      </w:r>
      <w:r w:rsidRPr="00A80DAF">
        <w:rPr>
          <w:rFonts w:asciiTheme="majorHAnsi" w:eastAsia="Times New Roman" w:hAnsiTheme="majorHAnsi" w:cstheme="majorHAnsi"/>
          <w:color w:val="000000" w:themeColor="text1"/>
          <w:sz w:val="20"/>
          <w:szCs w:val="20"/>
          <w:lang w:val="en-US"/>
        </w:rPr>
        <w:t xml:space="preserve"> (last access: 10.01.2023).</w:t>
      </w:r>
    </w:p>
    <w:p w14:paraId="01650626" w14:textId="77777777" w:rsidR="009E0DE6" w:rsidRPr="00A80DAF" w:rsidRDefault="009E0DE6" w:rsidP="009E0DE6">
      <w:pPr>
        <w:spacing w:before="0" w:line="240" w:lineRule="auto"/>
        <w:ind w:left="709" w:hanging="709"/>
        <w:rPr>
          <w:rFonts w:asciiTheme="majorHAnsi" w:eastAsia="Times New Roman" w:hAnsiTheme="majorHAnsi" w:cstheme="majorHAnsi"/>
          <w:color w:val="000000" w:themeColor="text1"/>
          <w:sz w:val="20"/>
          <w:szCs w:val="20"/>
          <w:lang w:val="hr-HR"/>
        </w:rPr>
      </w:pPr>
      <w:proofErr w:type="spellStart"/>
      <w:r w:rsidRPr="00A80DAF">
        <w:rPr>
          <w:rFonts w:asciiTheme="majorHAnsi" w:eastAsia="Times New Roman" w:hAnsiTheme="majorHAnsi" w:cstheme="majorHAnsi"/>
          <w:color w:val="000000" w:themeColor="text1"/>
          <w:sz w:val="20"/>
          <w:szCs w:val="20"/>
          <w:lang w:val="en-US"/>
        </w:rPr>
        <w:t>Giljarova</w:t>
      </w:r>
      <w:proofErr w:type="spellEnd"/>
      <w:r w:rsidRPr="00A80DAF">
        <w:rPr>
          <w:rFonts w:asciiTheme="majorHAnsi" w:eastAsia="Times New Roman" w:hAnsiTheme="majorHAnsi" w:cstheme="majorHAnsi"/>
          <w:color w:val="000000" w:themeColor="text1"/>
          <w:sz w:val="20"/>
          <w:szCs w:val="20"/>
          <w:lang w:val="en-US"/>
        </w:rPr>
        <w:t xml:space="preserve">, </w:t>
      </w:r>
      <w:proofErr w:type="spellStart"/>
      <w:r w:rsidRPr="00A80DAF">
        <w:rPr>
          <w:rFonts w:asciiTheme="majorHAnsi" w:eastAsia="Times New Roman" w:hAnsiTheme="majorHAnsi" w:cstheme="majorHAnsi"/>
          <w:color w:val="000000" w:themeColor="text1"/>
          <w:sz w:val="20"/>
          <w:szCs w:val="20"/>
          <w:lang w:val="en-US"/>
        </w:rPr>
        <w:t>Ksenija</w:t>
      </w:r>
      <w:proofErr w:type="spellEnd"/>
      <w:r w:rsidRPr="00A80DAF">
        <w:rPr>
          <w:rFonts w:asciiTheme="majorHAnsi" w:eastAsia="Times New Roman" w:hAnsiTheme="majorHAnsi" w:cstheme="majorHAnsi"/>
          <w:color w:val="000000" w:themeColor="text1"/>
          <w:sz w:val="20"/>
          <w:szCs w:val="20"/>
          <w:lang w:val="en-US"/>
        </w:rPr>
        <w:t>. A. (2010): «</w:t>
      </w:r>
      <w:r w:rsidRPr="00A80DAF">
        <w:rPr>
          <w:rFonts w:asciiTheme="majorHAnsi" w:eastAsia="Times New Roman" w:hAnsiTheme="majorHAnsi" w:cstheme="majorHAnsi"/>
          <w:color w:val="000000" w:themeColor="text1"/>
          <w:sz w:val="20"/>
          <w:szCs w:val="20"/>
          <w:lang w:val="hr-HR"/>
        </w:rPr>
        <w:t>Takaja devočka-devočka</w:t>
      </w:r>
      <w:r w:rsidRPr="00A80DAF">
        <w:rPr>
          <w:rFonts w:asciiTheme="majorHAnsi" w:eastAsia="Times New Roman" w:hAnsiTheme="majorHAnsi" w:cstheme="majorHAnsi"/>
          <w:color w:val="000000" w:themeColor="text1"/>
          <w:sz w:val="20"/>
          <w:szCs w:val="20"/>
          <w:lang w:val="en-US"/>
        </w:rPr>
        <w:t xml:space="preserve">»: </w:t>
      </w:r>
      <w:r w:rsidRPr="00A80DAF">
        <w:rPr>
          <w:rFonts w:asciiTheme="majorHAnsi" w:eastAsia="Times New Roman" w:hAnsiTheme="majorHAnsi" w:cstheme="majorHAnsi"/>
          <w:color w:val="000000" w:themeColor="text1"/>
          <w:sz w:val="20"/>
          <w:szCs w:val="20"/>
          <w:lang w:val="hr-HR"/>
        </w:rPr>
        <w:t xml:space="preserve">semantika reduplikacii suščestvitel’nykh v russkoj razgovornoj reči i jazyke interneta. In: </w:t>
      </w:r>
      <w:r w:rsidRPr="00A80DAF">
        <w:rPr>
          <w:rFonts w:asciiTheme="majorHAnsi" w:eastAsia="Times New Roman" w:hAnsiTheme="majorHAnsi" w:cstheme="majorHAnsi"/>
          <w:i/>
          <w:iCs/>
          <w:color w:val="000000" w:themeColor="text1"/>
          <w:sz w:val="20"/>
          <w:szCs w:val="20"/>
          <w:lang w:val="hr-HR"/>
        </w:rPr>
        <w:t>Komp’juternaja lingvistika i intellektual’nye tekhnologii. Po materialam ežegodnoj Meždunarodnoj konferencii „Dialog“</w:t>
      </w:r>
      <w:r w:rsidRPr="00A80DAF">
        <w:rPr>
          <w:rFonts w:asciiTheme="majorHAnsi" w:eastAsia="Times New Roman" w:hAnsiTheme="majorHAnsi" w:cstheme="majorHAnsi"/>
          <w:color w:val="000000" w:themeColor="text1"/>
          <w:sz w:val="20"/>
          <w:szCs w:val="20"/>
          <w:lang w:val="hr-HR"/>
        </w:rPr>
        <w:t xml:space="preserve"> </w:t>
      </w:r>
      <w:r w:rsidRPr="00A80DAF">
        <w:rPr>
          <w:rFonts w:asciiTheme="majorHAnsi" w:eastAsia="Times New Roman" w:hAnsiTheme="majorHAnsi" w:cstheme="majorHAnsi"/>
          <w:i/>
          <w:iCs/>
          <w:color w:val="000000" w:themeColor="text1"/>
          <w:sz w:val="20"/>
          <w:szCs w:val="20"/>
          <w:lang w:val="hr-HR"/>
        </w:rPr>
        <w:t>2010</w:t>
      </w:r>
      <w:r w:rsidRPr="00A80DAF">
        <w:rPr>
          <w:rFonts w:asciiTheme="majorHAnsi" w:eastAsia="Times New Roman" w:hAnsiTheme="majorHAnsi" w:cstheme="majorHAnsi"/>
          <w:color w:val="000000" w:themeColor="text1"/>
          <w:sz w:val="20"/>
          <w:szCs w:val="20"/>
          <w:lang w:val="hr-HR"/>
        </w:rPr>
        <w:t xml:space="preserve">, 9(16), pp. 90–96. </w:t>
      </w:r>
      <w:r w:rsidRPr="00A80DAF">
        <w:rPr>
          <w:rFonts w:asciiTheme="majorHAnsi" w:eastAsia="Times New Roman" w:hAnsiTheme="majorHAnsi" w:cstheme="majorHAnsi"/>
          <w:color w:val="000000" w:themeColor="text1"/>
          <w:sz w:val="20"/>
          <w:szCs w:val="20"/>
          <w:u w:color="000080"/>
          <w:lang w:val="hr-HR"/>
        </w:rPr>
        <w:t>https://www.dialog-21.ru/media/1490/15.pdf</w:t>
      </w:r>
      <w:r w:rsidRPr="00A80DAF">
        <w:rPr>
          <w:rFonts w:asciiTheme="majorHAnsi" w:eastAsia="Times New Roman" w:hAnsiTheme="majorHAnsi" w:cstheme="majorHAnsi"/>
          <w:color w:val="000000" w:themeColor="text1"/>
          <w:sz w:val="20"/>
          <w:szCs w:val="20"/>
          <w:lang w:val="hr-HR"/>
        </w:rPr>
        <w:t xml:space="preserve"> </w:t>
      </w:r>
      <w:r w:rsidRPr="00B46919">
        <w:rPr>
          <w:rFonts w:asciiTheme="majorHAnsi" w:eastAsia="Times New Roman" w:hAnsiTheme="majorHAnsi" w:cstheme="majorHAnsi"/>
          <w:color w:val="000000" w:themeColor="text1"/>
          <w:sz w:val="20"/>
          <w:szCs w:val="20"/>
          <w:lang w:val="hr-HR"/>
        </w:rPr>
        <w:t>(last access: 10.01.2023).</w:t>
      </w:r>
    </w:p>
    <w:p w14:paraId="1BA99FB9" w14:textId="77777777" w:rsidR="009E0DE6" w:rsidRPr="00A80DAF" w:rsidRDefault="009E0DE6" w:rsidP="009E0DE6">
      <w:pPr>
        <w:spacing w:before="0" w:line="240" w:lineRule="auto"/>
        <w:ind w:left="709" w:hanging="709"/>
        <w:rPr>
          <w:rFonts w:asciiTheme="majorHAnsi" w:eastAsia="Times New Roman" w:hAnsiTheme="majorHAnsi" w:cstheme="majorHAnsi"/>
          <w:color w:val="000000" w:themeColor="text1"/>
          <w:sz w:val="20"/>
          <w:szCs w:val="20"/>
          <w:lang w:val="en-US"/>
        </w:rPr>
      </w:pPr>
      <w:r w:rsidRPr="00A80DAF">
        <w:rPr>
          <w:rFonts w:asciiTheme="majorHAnsi" w:eastAsia="Times New Roman" w:hAnsiTheme="majorHAnsi" w:cstheme="majorHAnsi"/>
          <w:color w:val="000000" w:themeColor="text1"/>
          <w:sz w:val="20"/>
          <w:szCs w:val="20"/>
          <w:lang w:val="en-US"/>
        </w:rPr>
        <w:t xml:space="preserve">Horn, Laurence A. (1993): Economy and redundancy in a dualistic model of natural language. In: </w:t>
      </w:r>
      <w:r w:rsidRPr="00A80DAF">
        <w:rPr>
          <w:rFonts w:asciiTheme="majorHAnsi" w:eastAsia="Times New Roman" w:hAnsiTheme="majorHAnsi" w:cstheme="majorHAnsi"/>
          <w:i/>
          <w:iCs/>
          <w:color w:val="000000" w:themeColor="text1"/>
          <w:sz w:val="20"/>
          <w:szCs w:val="20"/>
          <w:lang w:val="en-US"/>
        </w:rPr>
        <w:t xml:space="preserve">Yearbook of the linguistic association of </w:t>
      </w:r>
      <w:proofErr w:type="spellStart"/>
      <w:r w:rsidRPr="00A80DAF">
        <w:rPr>
          <w:rFonts w:asciiTheme="majorHAnsi" w:eastAsia="Times New Roman" w:hAnsiTheme="majorHAnsi" w:cstheme="majorHAnsi"/>
          <w:i/>
          <w:iCs/>
          <w:color w:val="000000" w:themeColor="text1"/>
          <w:sz w:val="20"/>
          <w:szCs w:val="20"/>
          <w:lang w:val="en-US"/>
        </w:rPr>
        <w:t>Finnland</w:t>
      </w:r>
      <w:proofErr w:type="spellEnd"/>
      <w:r w:rsidRPr="00A80DAF">
        <w:rPr>
          <w:rFonts w:asciiTheme="majorHAnsi" w:eastAsia="Times New Roman" w:hAnsiTheme="majorHAnsi" w:cstheme="majorHAnsi"/>
          <w:color w:val="000000" w:themeColor="text1"/>
          <w:sz w:val="20"/>
          <w:szCs w:val="20"/>
          <w:lang w:val="en-US"/>
        </w:rPr>
        <w:t>, 6, pp. 33–72. http://www.linguistics.fi/julkaisut/sky1993.shtml (last access: 10.01.2023).</w:t>
      </w:r>
    </w:p>
    <w:p w14:paraId="55612D5C" w14:textId="77777777" w:rsidR="009E0DE6" w:rsidRPr="00A80DAF" w:rsidRDefault="009E0DE6" w:rsidP="009E0DE6">
      <w:pPr>
        <w:spacing w:before="0" w:line="240" w:lineRule="auto"/>
        <w:ind w:left="709" w:hanging="709"/>
        <w:rPr>
          <w:rFonts w:asciiTheme="majorHAnsi" w:eastAsia="DGMetaScience-Bold" w:hAnsiTheme="majorHAnsi" w:cstheme="majorHAnsi"/>
          <w:color w:val="000000" w:themeColor="text1"/>
          <w:sz w:val="20"/>
          <w:szCs w:val="20"/>
          <w:lang w:val="en-US"/>
        </w:rPr>
      </w:pPr>
      <w:r w:rsidRPr="00A80DAF">
        <w:rPr>
          <w:rFonts w:asciiTheme="majorHAnsi" w:eastAsia="Times New Roman" w:hAnsiTheme="majorHAnsi" w:cstheme="majorHAnsi"/>
          <w:color w:val="000000" w:themeColor="text1"/>
          <w:sz w:val="20"/>
          <w:szCs w:val="20"/>
          <w:lang w:val="en-US"/>
        </w:rPr>
        <w:t xml:space="preserve">Horn, Laurence A. (2018): </w:t>
      </w:r>
      <w:r w:rsidRPr="00A80DAF">
        <w:rPr>
          <w:rFonts w:asciiTheme="majorHAnsi" w:eastAsia="DGMetaScience-Bold" w:hAnsiTheme="majorHAnsi" w:cstheme="majorHAnsi"/>
          <w:color w:val="000000" w:themeColor="text1"/>
          <w:sz w:val="20"/>
          <w:szCs w:val="20"/>
          <w:lang w:val="en-US"/>
        </w:rPr>
        <w:t xml:space="preserve">The lexical clone: Pragmatics, prototypes, productivity. In: </w:t>
      </w:r>
      <w:proofErr w:type="spellStart"/>
      <w:r w:rsidRPr="00A80DAF">
        <w:rPr>
          <w:rFonts w:asciiTheme="majorHAnsi" w:eastAsia="DGMetaScience-Bold" w:hAnsiTheme="majorHAnsi" w:cstheme="majorHAnsi"/>
          <w:color w:val="000000" w:themeColor="text1"/>
          <w:sz w:val="20"/>
          <w:szCs w:val="20"/>
          <w:lang w:val="en-US"/>
        </w:rPr>
        <w:t>Finkbeiner</w:t>
      </w:r>
      <w:proofErr w:type="spellEnd"/>
      <w:r w:rsidRPr="00A80DAF">
        <w:rPr>
          <w:rFonts w:asciiTheme="majorHAnsi" w:eastAsia="DGMetaScience-Bold" w:hAnsiTheme="majorHAnsi" w:cstheme="majorHAnsi"/>
          <w:color w:val="000000" w:themeColor="text1"/>
          <w:sz w:val="20"/>
          <w:szCs w:val="20"/>
          <w:lang w:val="en-US"/>
        </w:rPr>
        <w:t>, Rita/</w:t>
      </w:r>
      <w:proofErr w:type="spellStart"/>
      <w:r w:rsidRPr="00A80DAF">
        <w:rPr>
          <w:rFonts w:asciiTheme="majorHAnsi" w:eastAsia="DGMetaScience-Bold" w:hAnsiTheme="majorHAnsi" w:cstheme="majorHAnsi"/>
          <w:color w:val="000000" w:themeColor="text1"/>
          <w:sz w:val="20"/>
          <w:szCs w:val="20"/>
          <w:lang w:val="en-US"/>
        </w:rPr>
        <w:t>Freywald</w:t>
      </w:r>
      <w:proofErr w:type="spellEnd"/>
      <w:r w:rsidRPr="00A80DAF">
        <w:rPr>
          <w:rFonts w:asciiTheme="majorHAnsi" w:eastAsia="DGMetaScience-Bold" w:hAnsiTheme="majorHAnsi" w:cstheme="majorHAnsi"/>
          <w:color w:val="000000" w:themeColor="text1"/>
          <w:sz w:val="20"/>
          <w:szCs w:val="20"/>
          <w:lang w:val="en-US"/>
        </w:rPr>
        <w:t xml:space="preserve">, Ulrike (eds.): </w:t>
      </w:r>
      <w:r w:rsidRPr="00A80DAF">
        <w:rPr>
          <w:rFonts w:asciiTheme="majorHAnsi" w:eastAsia="DGMetaScience-Bold" w:hAnsiTheme="majorHAnsi" w:cstheme="majorHAnsi"/>
          <w:i/>
          <w:iCs/>
          <w:color w:val="000000" w:themeColor="text1"/>
          <w:sz w:val="20"/>
          <w:szCs w:val="20"/>
          <w:lang w:val="en-US"/>
        </w:rPr>
        <w:t>Exact repetition in grammar and discourse</w:t>
      </w:r>
      <w:r w:rsidRPr="00A80DAF">
        <w:rPr>
          <w:rFonts w:asciiTheme="majorHAnsi" w:eastAsia="DGMetaScience-Bold" w:hAnsiTheme="majorHAnsi" w:cstheme="majorHAnsi"/>
          <w:color w:val="000000" w:themeColor="text1"/>
          <w:sz w:val="20"/>
          <w:szCs w:val="20"/>
          <w:lang w:val="en-US"/>
        </w:rPr>
        <w:t>. Berlin, Boston: De Gruyter Mouton, pp. 233</w:t>
      </w:r>
      <w:r w:rsidRPr="00A80DAF">
        <w:rPr>
          <w:rFonts w:asciiTheme="majorHAnsi" w:eastAsia="Times New Roman" w:hAnsiTheme="majorHAnsi" w:cstheme="majorHAnsi"/>
          <w:color w:val="000000" w:themeColor="text1"/>
          <w:sz w:val="20"/>
          <w:szCs w:val="20"/>
          <w:lang w:val="en-US"/>
        </w:rPr>
        <w:t>–</w:t>
      </w:r>
      <w:r w:rsidRPr="00A80DAF">
        <w:rPr>
          <w:rFonts w:asciiTheme="majorHAnsi" w:eastAsia="DGMetaScience-Bold" w:hAnsiTheme="majorHAnsi" w:cstheme="majorHAnsi"/>
          <w:color w:val="000000" w:themeColor="text1"/>
          <w:sz w:val="20"/>
          <w:szCs w:val="20"/>
          <w:lang w:val="en-US"/>
        </w:rPr>
        <w:t>264.</w:t>
      </w:r>
    </w:p>
    <w:p w14:paraId="0C160DC3" w14:textId="77777777" w:rsidR="009E0DE6" w:rsidRPr="00A80DAF" w:rsidRDefault="009E0DE6" w:rsidP="009E0DE6">
      <w:pPr>
        <w:spacing w:before="0" w:line="240" w:lineRule="auto"/>
        <w:ind w:left="709" w:hanging="709"/>
        <w:rPr>
          <w:rFonts w:asciiTheme="majorHAnsi" w:eastAsia="Times New Roman" w:hAnsiTheme="majorHAnsi" w:cstheme="majorHAnsi"/>
          <w:color w:val="000000" w:themeColor="text1"/>
          <w:sz w:val="20"/>
          <w:szCs w:val="20"/>
          <w:lang w:val="en-US"/>
        </w:rPr>
      </w:pPr>
      <w:r w:rsidRPr="00A80DAF">
        <w:rPr>
          <w:rFonts w:asciiTheme="majorHAnsi" w:eastAsia="Times New Roman" w:hAnsiTheme="majorHAnsi" w:cstheme="majorHAnsi"/>
          <w:color w:val="000000" w:themeColor="text1"/>
          <w:sz w:val="20"/>
          <w:szCs w:val="20"/>
          <w:lang w:val="en-US"/>
        </w:rPr>
        <w:t>Huang, Yan</w:t>
      </w:r>
      <w:r>
        <w:rPr>
          <w:rFonts w:asciiTheme="majorHAnsi" w:eastAsia="Times New Roman" w:hAnsiTheme="majorHAnsi" w:cstheme="majorHAnsi"/>
          <w:color w:val="000000" w:themeColor="text1"/>
          <w:sz w:val="20"/>
          <w:szCs w:val="20"/>
          <w:lang w:val="en-US"/>
        </w:rPr>
        <w:t xml:space="preserve"> (</w:t>
      </w:r>
      <w:r w:rsidRPr="00A80DAF">
        <w:rPr>
          <w:rFonts w:asciiTheme="majorHAnsi" w:eastAsia="Times New Roman" w:hAnsiTheme="majorHAnsi" w:cstheme="majorHAnsi"/>
          <w:color w:val="000000" w:themeColor="text1"/>
          <w:sz w:val="20"/>
          <w:szCs w:val="20"/>
          <w:lang w:val="en-US"/>
        </w:rPr>
        <w:t>2015</w:t>
      </w:r>
      <w:r>
        <w:rPr>
          <w:rFonts w:asciiTheme="majorHAnsi" w:eastAsia="Times New Roman" w:hAnsiTheme="majorHAnsi" w:cstheme="majorHAnsi"/>
          <w:color w:val="000000" w:themeColor="text1"/>
          <w:sz w:val="20"/>
          <w:szCs w:val="20"/>
          <w:lang w:val="en-US"/>
        </w:rPr>
        <w:t>):</w:t>
      </w:r>
      <w:r w:rsidRPr="00A80DAF">
        <w:rPr>
          <w:rFonts w:asciiTheme="majorHAnsi" w:eastAsia="Times New Roman" w:hAnsiTheme="majorHAnsi" w:cstheme="majorHAnsi"/>
          <w:color w:val="000000" w:themeColor="text1"/>
          <w:sz w:val="20"/>
          <w:szCs w:val="20"/>
          <w:lang w:val="en-US"/>
        </w:rPr>
        <w:t xml:space="preserve"> Lexical cloning in English: A neo-Gricean lexical pragmatic analysis. In: </w:t>
      </w:r>
      <w:r w:rsidRPr="00A80DAF">
        <w:rPr>
          <w:rFonts w:asciiTheme="majorHAnsi" w:eastAsia="Times New Roman" w:hAnsiTheme="majorHAnsi" w:cstheme="majorHAnsi"/>
          <w:i/>
          <w:iCs/>
          <w:color w:val="000000" w:themeColor="text1"/>
          <w:sz w:val="20"/>
          <w:szCs w:val="20"/>
          <w:lang w:val="en-US"/>
        </w:rPr>
        <w:t>Journal of Pragmatics</w:t>
      </w:r>
      <w:r w:rsidRPr="00A80DAF">
        <w:rPr>
          <w:rFonts w:asciiTheme="majorHAnsi" w:eastAsia="Times New Roman" w:hAnsiTheme="majorHAnsi" w:cstheme="majorHAnsi"/>
          <w:color w:val="000000" w:themeColor="text1"/>
          <w:sz w:val="20"/>
          <w:szCs w:val="20"/>
          <w:lang w:val="en-US"/>
        </w:rPr>
        <w:t xml:space="preserve">, 86, pp. 80–85. </w:t>
      </w:r>
      <w:r w:rsidRPr="00A80DAF">
        <w:rPr>
          <w:rFonts w:asciiTheme="majorHAnsi" w:eastAsia="Times New Roman" w:hAnsiTheme="majorHAnsi" w:cstheme="majorHAnsi"/>
          <w:color w:val="000000" w:themeColor="text1"/>
          <w:sz w:val="20"/>
          <w:szCs w:val="20"/>
          <w:u w:color="000080"/>
          <w:lang w:val="en-US"/>
        </w:rPr>
        <w:t>https://doi.org/10.1016/j.pragma.2015.06.005</w:t>
      </w:r>
      <w:r w:rsidRPr="00A80DAF">
        <w:rPr>
          <w:rFonts w:asciiTheme="majorHAnsi" w:eastAsia="Times New Roman" w:hAnsiTheme="majorHAnsi" w:cstheme="majorHAnsi"/>
          <w:color w:val="000000" w:themeColor="text1"/>
          <w:sz w:val="20"/>
          <w:szCs w:val="20"/>
          <w:lang w:val="en-US"/>
        </w:rPr>
        <w:t xml:space="preserve"> (</w:t>
      </w:r>
      <w:r w:rsidRPr="00A80DAF">
        <w:rPr>
          <w:rFonts w:asciiTheme="majorHAnsi" w:hAnsiTheme="majorHAnsi" w:cstheme="majorHAnsi"/>
          <w:color w:val="000000" w:themeColor="text1"/>
          <w:sz w:val="20"/>
          <w:szCs w:val="20"/>
        </w:rPr>
        <w:t>last access: 08.05.2023).</w:t>
      </w:r>
    </w:p>
    <w:p w14:paraId="451A99DA" w14:textId="77777777" w:rsidR="009E0DE6" w:rsidRPr="00A80DAF" w:rsidRDefault="009E0DE6" w:rsidP="009E0DE6">
      <w:pPr>
        <w:spacing w:before="0" w:line="240" w:lineRule="auto"/>
        <w:ind w:left="709" w:hanging="709"/>
        <w:rPr>
          <w:rFonts w:asciiTheme="majorHAnsi" w:eastAsia="Times New Roman" w:hAnsiTheme="majorHAnsi" w:cstheme="majorHAnsi"/>
          <w:color w:val="000000" w:themeColor="text1"/>
          <w:sz w:val="20"/>
          <w:szCs w:val="20"/>
          <w:lang w:val="en-US"/>
        </w:rPr>
      </w:pPr>
      <w:proofErr w:type="spellStart"/>
      <w:r w:rsidRPr="00A80DAF">
        <w:rPr>
          <w:rFonts w:asciiTheme="majorHAnsi" w:hAnsiTheme="majorHAnsi" w:cstheme="majorHAnsi"/>
          <w:color w:val="000000" w:themeColor="text1"/>
          <w:sz w:val="20"/>
          <w:szCs w:val="20"/>
          <w:shd w:val="clear" w:color="auto" w:fill="FFFFFF"/>
          <w:lang w:val="en-US"/>
        </w:rPr>
        <w:t>Rubino</w:t>
      </w:r>
      <w:proofErr w:type="spellEnd"/>
      <w:r w:rsidRPr="00A80DAF">
        <w:rPr>
          <w:rFonts w:asciiTheme="majorHAnsi" w:hAnsiTheme="majorHAnsi" w:cstheme="majorHAnsi"/>
          <w:color w:val="000000" w:themeColor="text1"/>
          <w:sz w:val="20"/>
          <w:szCs w:val="20"/>
          <w:shd w:val="clear" w:color="auto" w:fill="FFFFFF"/>
          <w:lang w:val="en-US"/>
        </w:rPr>
        <w:t>, Carl (2013): Reduplication.</w:t>
      </w:r>
      <w:r w:rsidRPr="00A80DAF">
        <w:rPr>
          <w:rFonts w:asciiTheme="majorHAnsi" w:hAnsiTheme="majorHAnsi" w:cstheme="majorHAnsi"/>
          <w:color w:val="000000" w:themeColor="text1"/>
          <w:sz w:val="20"/>
          <w:szCs w:val="20"/>
          <w:lang w:val="en-US"/>
        </w:rPr>
        <w:t xml:space="preserve"> </w:t>
      </w:r>
      <w:r w:rsidRPr="00A80DAF">
        <w:rPr>
          <w:rFonts w:asciiTheme="majorHAnsi" w:hAnsiTheme="majorHAnsi" w:cstheme="majorHAnsi"/>
          <w:color w:val="000000" w:themeColor="text1"/>
          <w:sz w:val="20"/>
          <w:szCs w:val="20"/>
          <w:shd w:val="clear" w:color="auto" w:fill="FFFFFF"/>
          <w:lang w:val="en-US"/>
        </w:rPr>
        <w:t>In: Dryer, Matthew S./</w:t>
      </w:r>
      <w:proofErr w:type="spellStart"/>
      <w:r w:rsidRPr="00A80DAF">
        <w:rPr>
          <w:rFonts w:asciiTheme="majorHAnsi" w:hAnsiTheme="majorHAnsi" w:cstheme="majorHAnsi"/>
          <w:color w:val="000000" w:themeColor="text1"/>
          <w:sz w:val="20"/>
          <w:szCs w:val="20"/>
          <w:shd w:val="clear" w:color="auto" w:fill="FFFFFF"/>
          <w:lang w:val="en-US"/>
        </w:rPr>
        <w:t>Haspelmath</w:t>
      </w:r>
      <w:proofErr w:type="spellEnd"/>
      <w:r w:rsidRPr="00A80DAF">
        <w:rPr>
          <w:rFonts w:asciiTheme="majorHAnsi" w:hAnsiTheme="majorHAnsi" w:cstheme="majorHAnsi"/>
          <w:color w:val="000000" w:themeColor="text1"/>
          <w:sz w:val="20"/>
          <w:szCs w:val="20"/>
          <w:shd w:val="clear" w:color="auto" w:fill="FFFFFF"/>
          <w:lang w:val="en-US"/>
        </w:rPr>
        <w:t>, Martin (eds.):</w:t>
      </w:r>
      <w:r w:rsidRPr="00A80DAF">
        <w:rPr>
          <w:rFonts w:asciiTheme="majorHAnsi" w:hAnsiTheme="majorHAnsi" w:cstheme="majorHAnsi"/>
          <w:color w:val="000000" w:themeColor="text1"/>
          <w:sz w:val="20"/>
          <w:szCs w:val="20"/>
          <w:lang w:val="en-US"/>
        </w:rPr>
        <w:br/>
      </w:r>
      <w:r w:rsidRPr="00A80DAF">
        <w:rPr>
          <w:rFonts w:asciiTheme="majorHAnsi" w:hAnsiTheme="majorHAnsi" w:cstheme="majorHAnsi"/>
          <w:i/>
          <w:iCs/>
          <w:color w:val="000000" w:themeColor="text1"/>
          <w:sz w:val="20"/>
          <w:szCs w:val="20"/>
          <w:shd w:val="clear" w:color="auto" w:fill="FFFFFF"/>
          <w:lang w:val="en-US"/>
        </w:rPr>
        <w:t>The World Atlas of Language Structures Online</w:t>
      </w:r>
      <w:r w:rsidRPr="00A80DAF">
        <w:rPr>
          <w:rFonts w:asciiTheme="majorHAnsi" w:hAnsiTheme="majorHAnsi" w:cstheme="majorHAnsi"/>
          <w:iCs/>
          <w:color w:val="000000" w:themeColor="text1"/>
          <w:sz w:val="20"/>
          <w:szCs w:val="20"/>
          <w:shd w:val="clear" w:color="auto" w:fill="FFFFFF"/>
          <w:lang w:val="en-US"/>
        </w:rPr>
        <w:t>.</w:t>
      </w:r>
      <w:r w:rsidRPr="00A80DAF">
        <w:rPr>
          <w:rFonts w:asciiTheme="majorHAnsi" w:hAnsiTheme="majorHAnsi" w:cstheme="majorHAnsi"/>
          <w:iCs/>
          <w:color w:val="000000" w:themeColor="text1"/>
          <w:sz w:val="20"/>
          <w:szCs w:val="20"/>
          <w:lang w:val="en-US"/>
        </w:rPr>
        <w:t xml:space="preserve"> </w:t>
      </w:r>
      <w:r w:rsidRPr="00A80DAF">
        <w:rPr>
          <w:rFonts w:asciiTheme="majorHAnsi" w:hAnsiTheme="majorHAnsi" w:cstheme="majorHAnsi"/>
          <w:color w:val="000000" w:themeColor="text1"/>
          <w:sz w:val="20"/>
          <w:szCs w:val="20"/>
          <w:shd w:val="clear" w:color="auto" w:fill="FFFFFF"/>
          <w:lang w:val="en-US"/>
        </w:rPr>
        <w:t>Leipzig: Max Planck Institute for Evolutionary Anthropology.</w:t>
      </w:r>
      <w:r w:rsidRPr="00A80DAF">
        <w:rPr>
          <w:rFonts w:asciiTheme="majorHAnsi" w:hAnsiTheme="majorHAnsi" w:cstheme="majorHAnsi"/>
          <w:color w:val="000000" w:themeColor="text1"/>
          <w:sz w:val="20"/>
          <w:szCs w:val="20"/>
          <w:lang w:val="en-US"/>
        </w:rPr>
        <w:t xml:space="preserve"> </w:t>
      </w:r>
      <w:r w:rsidRPr="00A80DAF">
        <w:rPr>
          <w:rFonts w:asciiTheme="majorHAnsi" w:hAnsiTheme="majorHAnsi" w:cstheme="majorHAnsi"/>
          <w:color w:val="000000" w:themeColor="text1"/>
          <w:sz w:val="20"/>
          <w:szCs w:val="20"/>
          <w:u w:color="000080"/>
          <w:shd w:val="clear" w:color="auto" w:fill="FFFFFF"/>
          <w:lang w:val="en-US"/>
        </w:rPr>
        <w:t>http://wals.info/chapter/27</w:t>
      </w:r>
      <w:r w:rsidRPr="00A80DAF">
        <w:rPr>
          <w:rFonts w:asciiTheme="majorHAnsi" w:hAnsiTheme="majorHAnsi" w:cstheme="majorHAnsi"/>
          <w:color w:val="000000" w:themeColor="text1"/>
          <w:sz w:val="20"/>
          <w:szCs w:val="20"/>
          <w:shd w:val="clear" w:color="auto" w:fill="FFFFFF"/>
          <w:lang w:val="en-US"/>
        </w:rPr>
        <w:t xml:space="preserve"> </w:t>
      </w:r>
      <w:r w:rsidRPr="00A80DAF">
        <w:rPr>
          <w:rFonts w:asciiTheme="majorHAnsi" w:eastAsia="Times New Roman" w:hAnsiTheme="majorHAnsi" w:cstheme="majorHAnsi"/>
          <w:color w:val="000000" w:themeColor="text1"/>
          <w:sz w:val="20"/>
          <w:szCs w:val="20"/>
          <w:lang w:val="en-US"/>
        </w:rPr>
        <w:t>(</w:t>
      </w:r>
      <w:r w:rsidRPr="00A80DAF">
        <w:rPr>
          <w:rFonts w:asciiTheme="majorHAnsi" w:hAnsiTheme="majorHAnsi" w:cstheme="majorHAnsi"/>
          <w:color w:val="000000" w:themeColor="text1"/>
          <w:sz w:val="20"/>
          <w:szCs w:val="20"/>
        </w:rPr>
        <w:t>last access: 08.01.2023).</w:t>
      </w:r>
    </w:p>
    <w:p w14:paraId="1B6A3008" w14:textId="0BD3DF98" w:rsidR="006E7F4D" w:rsidRPr="003C56CD" w:rsidRDefault="009E0DE6" w:rsidP="009E0DE6">
      <w:pPr>
        <w:spacing w:before="0" w:line="240" w:lineRule="auto"/>
        <w:ind w:left="709" w:hanging="709"/>
        <w:rPr>
          <w:rFonts w:ascii="Times New Roman" w:hAnsi="Times New Roman" w:cs="Times New Roman"/>
          <w:sz w:val="24"/>
          <w:szCs w:val="24"/>
          <w:lang w:val="de-DE"/>
        </w:rPr>
      </w:pPr>
      <w:r w:rsidRPr="00A80DAF">
        <w:rPr>
          <w:rStyle w:val="Hervorhebung"/>
          <w:rFonts w:asciiTheme="majorHAnsi" w:hAnsiTheme="majorHAnsi" w:cstheme="majorHAnsi"/>
          <w:i w:val="0"/>
          <w:color w:val="000000" w:themeColor="text1"/>
          <w:sz w:val="20"/>
          <w:szCs w:val="20"/>
          <w:shd w:val="clear" w:color="auto" w:fill="FFFFFF"/>
          <w:lang w:val="de-DE"/>
        </w:rPr>
        <w:t>Stolz, Thomas (2008): (Wort-)Iteration: (k)eine universelle Konstruktion. In: Fischer, Kerstin/</w:t>
      </w:r>
      <w:proofErr w:type="spellStart"/>
      <w:r w:rsidRPr="00A80DAF">
        <w:rPr>
          <w:rStyle w:val="Hervorhebung"/>
          <w:rFonts w:asciiTheme="majorHAnsi" w:hAnsiTheme="majorHAnsi" w:cstheme="majorHAnsi"/>
          <w:i w:val="0"/>
          <w:color w:val="000000" w:themeColor="text1"/>
          <w:sz w:val="20"/>
          <w:szCs w:val="20"/>
          <w:shd w:val="clear" w:color="auto" w:fill="FFFFFF"/>
          <w:lang w:val="de-DE"/>
        </w:rPr>
        <w:t>Stefanowitsch</w:t>
      </w:r>
      <w:proofErr w:type="spellEnd"/>
      <w:r w:rsidRPr="00A80DAF">
        <w:rPr>
          <w:rStyle w:val="Hervorhebung"/>
          <w:rFonts w:asciiTheme="majorHAnsi" w:hAnsiTheme="majorHAnsi" w:cstheme="majorHAnsi"/>
          <w:i w:val="0"/>
          <w:color w:val="000000" w:themeColor="text1"/>
          <w:sz w:val="20"/>
          <w:szCs w:val="20"/>
          <w:shd w:val="clear" w:color="auto" w:fill="FFFFFF"/>
          <w:lang w:val="de-DE"/>
        </w:rPr>
        <w:t>, Anatol (</w:t>
      </w:r>
      <w:proofErr w:type="spellStart"/>
      <w:r w:rsidRPr="00A80DAF">
        <w:rPr>
          <w:rStyle w:val="Hervorhebung"/>
          <w:rFonts w:asciiTheme="majorHAnsi" w:hAnsiTheme="majorHAnsi" w:cstheme="majorHAnsi"/>
          <w:i w:val="0"/>
          <w:color w:val="000000" w:themeColor="text1"/>
          <w:sz w:val="20"/>
          <w:szCs w:val="20"/>
          <w:shd w:val="clear" w:color="auto" w:fill="FFFFFF"/>
          <w:lang w:val="de-DE"/>
        </w:rPr>
        <w:t>eds</w:t>
      </w:r>
      <w:proofErr w:type="spellEnd"/>
      <w:r w:rsidRPr="00A80DAF">
        <w:rPr>
          <w:rStyle w:val="Hervorhebung"/>
          <w:rFonts w:asciiTheme="majorHAnsi" w:hAnsiTheme="majorHAnsi" w:cstheme="majorHAnsi"/>
          <w:i w:val="0"/>
          <w:color w:val="000000" w:themeColor="text1"/>
          <w:sz w:val="20"/>
          <w:szCs w:val="20"/>
          <w:shd w:val="clear" w:color="auto" w:fill="FFFFFF"/>
          <w:lang w:val="de-DE"/>
        </w:rPr>
        <w:t xml:space="preserve">.): </w:t>
      </w:r>
      <w:r w:rsidRPr="00A80DAF">
        <w:rPr>
          <w:rStyle w:val="Hervorhebung"/>
          <w:rFonts w:asciiTheme="majorHAnsi" w:hAnsiTheme="majorHAnsi" w:cstheme="majorHAnsi"/>
          <w:color w:val="000000" w:themeColor="text1"/>
          <w:sz w:val="20"/>
          <w:szCs w:val="20"/>
          <w:shd w:val="clear" w:color="auto" w:fill="FFFFFF"/>
          <w:lang w:val="de-DE"/>
        </w:rPr>
        <w:t>Konstruktionsgrammatik. Von der Anwendung zur Theorie</w:t>
      </w:r>
      <w:r w:rsidRPr="00A80DAF">
        <w:rPr>
          <w:rStyle w:val="Hervorhebung"/>
          <w:rFonts w:asciiTheme="majorHAnsi" w:hAnsiTheme="majorHAnsi" w:cstheme="majorHAnsi"/>
          <w:i w:val="0"/>
          <w:color w:val="000000" w:themeColor="text1"/>
          <w:sz w:val="20"/>
          <w:szCs w:val="20"/>
          <w:shd w:val="clear" w:color="auto" w:fill="FFFFFF"/>
          <w:lang w:val="de-DE"/>
        </w:rPr>
        <w:t xml:space="preserve">. </w:t>
      </w:r>
      <w:r w:rsidRPr="00B06EB0">
        <w:rPr>
          <w:rStyle w:val="Hervorhebung"/>
          <w:rFonts w:asciiTheme="majorHAnsi" w:hAnsiTheme="majorHAnsi" w:cstheme="majorHAnsi"/>
          <w:i w:val="0"/>
          <w:color w:val="000000" w:themeColor="text1"/>
          <w:sz w:val="20"/>
          <w:szCs w:val="20"/>
          <w:shd w:val="clear" w:color="auto" w:fill="FFFFFF"/>
          <w:lang w:val="de-DE"/>
        </w:rPr>
        <w:t xml:space="preserve">Tübingen: </w:t>
      </w:r>
      <w:proofErr w:type="spellStart"/>
      <w:r w:rsidRPr="00B06EB0">
        <w:rPr>
          <w:rStyle w:val="Hervorhebung"/>
          <w:rFonts w:asciiTheme="majorHAnsi" w:hAnsiTheme="majorHAnsi" w:cstheme="majorHAnsi"/>
          <w:i w:val="0"/>
          <w:color w:val="000000" w:themeColor="text1"/>
          <w:sz w:val="20"/>
          <w:szCs w:val="20"/>
          <w:shd w:val="clear" w:color="auto" w:fill="FFFFFF"/>
          <w:lang w:val="de-DE"/>
        </w:rPr>
        <w:t>Stauffenburg</w:t>
      </w:r>
      <w:proofErr w:type="spellEnd"/>
      <w:r w:rsidRPr="00B06EB0">
        <w:rPr>
          <w:rStyle w:val="Hervorhebung"/>
          <w:rFonts w:asciiTheme="majorHAnsi" w:hAnsiTheme="majorHAnsi" w:cstheme="majorHAnsi"/>
          <w:i w:val="0"/>
          <w:color w:val="000000" w:themeColor="text1"/>
          <w:sz w:val="20"/>
          <w:szCs w:val="20"/>
          <w:shd w:val="clear" w:color="auto" w:fill="FFFFFF"/>
          <w:lang w:val="de-DE"/>
        </w:rPr>
        <w:t>, pp. 105–132.</w:t>
      </w:r>
    </w:p>
    <w:p w14:paraId="23CB6B15" w14:textId="77777777" w:rsidR="00B06EB0" w:rsidRDefault="00B06EB0">
      <w:pPr>
        <w:pStyle w:val="berschrift1"/>
        <w:rPr>
          <w:lang w:val="de-DE"/>
        </w:rPr>
      </w:pPr>
    </w:p>
    <w:p w14:paraId="53C16FDB" w14:textId="49502C97" w:rsidR="00AB181E" w:rsidRPr="00FD33C7" w:rsidRDefault="00224AA6">
      <w:pPr>
        <w:pStyle w:val="berschrift1"/>
        <w:rPr>
          <w:lang w:val="de-DE"/>
        </w:rPr>
      </w:pPr>
      <w:bookmarkStart w:id="0" w:name="_GoBack"/>
      <w:bookmarkEnd w:id="0"/>
      <w:r w:rsidRPr="00FD33C7">
        <w:rPr>
          <w:lang w:val="de-DE"/>
        </w:rPr>
        <w:t xml:space="preserve">Contact </w:t>
      </w:r>
      <w:proofErr w:type="spellStart"/>
      <w:r w:rsidRPr="00FD33C7">
        <w:rPr>
          <w:lang w:val="de-DE"/>
        </w:rPr>
        <w:t>information</w:t>
      </w:r>
      <w:proofErr w:type="spellEnd"/>
    </w:p>
    <w:p w14:paraId="5A096EE0" w14:textId="431439FE" w:rsidR="002526F1" w:rsidRPr="002526F1" w:rsidRDefault="002526F1">
      <w:pPr>
        <w:rPr>
          <w:rStyle w:val="Fett"/>
          <w:lang w:val="de-DE"/>
        </w:rPr>
      </w:pPr>
      <w:r w:rsidRPr="002526F1">
        <w:rPr>
          <w:rStyle w:val="Fett"/>
          <w:lang w:val="de-DE"/>
        </w:rPr>
        <w:t>Anna Pavlova</w:t>
      </w:r>
    </w:p>
    <w:p w14:paraId="212D14E2" w14:textId="17384F59" w:rsidR="002526F1" w:rsidRDefault="00DA6933">
      <w:pPr>
        <w:rPr>
          <w:lang w:val="de-DE"/>
        </w:rPr>
      </w:pPr>
      <w:proofErr w:type="gramStart"/>
      <w:r w:rsidRPr="00DA6933">
        <w:rPr>
          <w:lang w:val="de-DE"/>
        </w:rPr>
        <w:t>Johannes</w:t>
      </w:r>
      <w:r>
        <w:rPr>
          <w:lang w:val="de-DE"/>
        </w:rPr>
        <w:t xml:space="preserve"> </w:t>
      </w:r>
      <w:r w:rsidRPr="00DA6933">
        <w:rPr>
          <w:lang w:val="de-DE"/>
        </w:rPr>
        <w:t>Gutenberg-Universität</w:t>
      </w:r>
      <w:proofErr w:type="gramEnd"/>
      <w:r w:rsidRPr="00DA6933">
        <w:rPr>
          <w:lang w:val="de-DE"/>
        </w:rPr>
        <w:t xml:space="preserve"> Mainz</w:t>
      </w:r>
      <w:r>
        <w:rPr>
          <w:lang w:val="de-DE"/>
        </w:rPr>
        <w:t xml:space="preserve"> (JGU)</w:t>
      </w:r>
    </w:p>
    <w:p w14:paraId="745A13F3" w14:textId="017D832A" w:rsidR="00DA6933" w:rsidRDefault="00A46679">
      <w:pPr>
        <w:rPr>
          <w:lang w:val="de-DE"/>
        </w:rPr>
      </w:pPr>
      <w:hyperlink r:id="rId7" w:history="1">
        <w:r w:rsidR="00DA6933" w:rsidRPr="00EC36BB">
          <w:rPr>
            <w:rStyle w:val="Hyperlink"/>
            <w:lang w:val="de-DE"/>
          </w:rPr>
          <w:t>anna.pavlova@gmx.de</w:t>
        </w:r>
      </w:hyperlink>
    </w:p>
    <w:p w14:paraId="5D31D565" w14:textId="77777777" w:rsidR="00DA6933" w:rsidRDefault="00DA6933">
      <w:pPr>
        <w:rPr>
          <w:lang w:val="de-DE"/>
        </w:rPr>
      </w:pPr>
    </w:p>
    <w:p w14:paraId="280A5CA5" w14:textId="38BD9CB6" w:rsidR="00AB181E" w:rsidRPr="002526F1" w:rsidRDefault="002526F1">
      <w:pPr>
        <w:rPr>
          <w:lang w:val="de-DE"/>
        </w:rPr>
      </w:pPr>
      <w:r w:rsidRPr="002526F1">
        <w:rPr>
          <w:rStyle w:val="Fett"/>
          <w:lang w:val="de-DE"/>
        </w:rPr>
        <w:t>Katrin Schlund</w:t>
      </w:r>
    </w:p>
    <w:p w14:paraId="30910075" w14:textId="5FB48CCF" w:rsidR="00AB181E" w:rsidRPr="002526F1" w:rsidRDefault="002526F1">
      <w:pPr>
        <w:rPr>
          <w:lang w:val="de-DE"/>
        </w:rPr>
      </w:pPr>
      <w:r>
        <w:rPr>
          <w:lang w:val="de-DE"/>
        </w:rPr>
        <w:t>Martin-Luther-Universität Halle-Wittenberg</w:t>
      </w:r>
      <w:r w:rsidR="00DA6933">
        <w:rPr>
          <w:lang w:val="de-DE"/>
        </w:rPr>
        <w:t xml:space="preserve"> (MLU)</w:t>
      </w:r>
    </w:p>
    <w:p w14:paraId="275A2FEE" w14:textId="5531D3DB" w:rsidR="002526F1" w:rsidRDefault="00A46679">
      <w:pPr>
        <w:rPr>
          <w:lang w:val="de-DE"/>
        </w:rPr>
      </w:pPr>
      <w:hyperlink r:id="rId8" w:history="1">
        <w:r w:rsidR="00B43064" w:rsidRPr="00EC36BB">
          <w:rPr>
            <w:rStyle w:val="Hyperlink"/>
            <w:lang w:val="de-DE"/>
          </w:rPr>
          <w:t>katrin.schlund@slavistik.uni-halle.de</w:t>
        </w:r>
      </w:hyperlink>
    </w:p>
    <w:p w14:paraId="2335C1EC" w14:textId="77777777" w:rsidR="00AB181E" w:rsidRPr="002526F1" w:rsidRDefault="00AB181E">
      <w:pPr>
        <w:pStyle w:val="Literaturverzeichnis1"/>
        <w:ind w:left="0" w:firstLine="0"/>
        <w:rPr>
          <w:lang w:val="de-DE"/>
        </w:rPr>
      </w:pPr>
    </w:p>
    <w:p w14:paraId="605D4C54" w14:textId="77777777" w:rsidR="00AB181E" w:rsidRPr="002526F1" w:rsidRDefault="00AB181E">
      <w:pPr>
        <w:pStyle w:val="Literaturverzeichnis1"/>
        <w:ind w:left="0" w:firstLine="0"/>
        <w:rPr>
          <w:lang w:val="de-DE"/>
        </w:rPr>
      </w:pPr>
    </w:p>
    <w:sectPr w:rsidR="00AB181E" w:rsidRPr="002526F1">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A1196" w14:textId="77777777" w:rsidR="00A46679" w:rsidRDefault="00A46679">
      <w:pPr>
        <w:spacing w:before="0" w:line="240" w:lineRule="auto"/>
      </w:pPr>
      <w:r>
        <w:separator/>
      </w:r>
    </w:p>
  </w:endnote>
  <w:endnote w:type="continuationSeparator" w:id="0">
    <w:p w14:paraId="4C9253F6" w14:textId="77777777" w:rsidR="00A46679" w:rsidRDefault="00A466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DE79B4F-FD23-4717-88A9-57C0F909A885}"/>
    <w:embedBold r:id="rId2" w:fontKey="{247F69D7-8CF0-45D9-AE23-FEDD589F99AE}"/>
    <w:embedItalic r:id="rId3" w:fontKey="{6F57E71F-C978-401A-A0A3-C496AF1C1604}"/>
  </w:font>
  <w:font w:name="Tahoma">
    <w:panose1 w:val="020B0604030504040204"/>
    <w:charset w:val="00"/>
    <w:family w:val="swiss"/>
    <w:pitch w:val="variable"/>
    <w:sig w:usb0="E1002EFF" w:usb1="C000605B" w:usb2="00000029" w:usb3="00000000" w:csb0="000101FF" w:csb1="00000000"/>
    <w:embedRegular r:id="rId4" w:fontKey="{72A0D92F-5BEE-4D75-82D6-978EC5E34F23}"/>
    <w:embedBold r:id="rId5" w:fontKey="{C7A7344E-DF66-476D-8AB6-6167817815B1}"/>
    <w:embedItalic r:id="rId6" w:fontKey="{3B50BA9A-3592-4EBD-B970-D399E855B1C4}"/>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793951F9-538B-468C-87F9-7FF2D1EB20C4}"/>
    <w:embedBold r:id="rId8" w:fontKey="{AED03FB0-C369-44E2-AA62-27758789C944}"/>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416AB710-7843-4471-AF04-5120FC6989BD}"/>
  </w:font>
  <w:font w:name="Liberation Sans">
    <w:altName w:val="Arial"/>
    <w:charset w:val="00"/>
    <w:family w:val="swiss"/>
    <w:pitch w:val="variable"/>
    <w:sig w:usb0="E0000AFF" w:usb1="500078FF" w:usb2="00000021" w:usb3="00000000" w:csb0="000001BF" w:csb1="00000000"/>
    <w:embedBold r:id="rId10" w:fontKey="{DE3F0CB3-B4D4-4AD0-A9E3-A2CE190CF36A}"/>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A49C3D64-AC73-4EF6-B5AB-1A0426105957}"/>
    <w:embedItalic r:id="rId12" w:fontKey="{5EC08E5F-61A2-49DF-82BB-602084530638}"/>
  </w:font>
  <w:font w:name="DGMetaScience-Bold">
    <w:altName w:val="Yu Gothic"/>
    <w:charset w:val="80"/>
    <w:family w:val="swiss"/>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DB346"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15C34DB6" w14:textId="77777777" w:rsidR="00AB181E" w:rsidRDefault="00AB181E">
    <w:pPr>
      <w:pStyle w:val="Fuzeile"/>
    </w:pPr>
  </w:p>
  <w:p w14:paraId="00890B53"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51E23" w14:textId="77777777" w:rsidR="00A46679" w:rsidRDefault="00A46679">
      <w:pPr>
        <w:rPr>
          <w:sz w:val="12"/>
        </w:rPr>
      </w:pPr>
      <w:r>
        <w:separator/>
      </w:r>
    </w:p>
  </w:footnote>
  <w:footnote w:type="continuationSeparator" w:id="0">
    <w:p w14:paraId="48E152AC" w14:textId="77777777" w:rsidR="00A46679" w:rsidRDefault="00A4667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9478C" w14:textId="77777777" w:rsidR="00AB181E" w:rsidRDefault="00224AA6">
    <w:pPr>
      <w:pStyle w:val="Kopfzeile"/>
    </w:pPr>
    <w:r>
      <w:t>ICLC-10 2023 - Document Template for Revised Abstract</w:t>
    </w:r>
    <w:r>
      <w:rPr>
        <w:lang w:val="en-US"/>
      </w:rPr>
      <w:t>s</w:t>
    </w:r>
  </w:p>
  <w:p w14:paraId="6DBAB5BA"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106"/>
        </w:tabs>
        <w:ind w:left="1393" w:hanging="360"/>
      </w:pPr>
    </w:lvl>
    <w:lvl w:ilvl="1">
      <w:start w:val="1"/>
      <w:numFmt w:val="lowerLetter"/>
      <w:lvlText w:val="%2."/>
      <w:lvlJc w:val="left"/>
      <w:pPr>
        <w:tabs>
          <w:tab w:val="num" w:pos="106"/>
        </w:tabs>
        <w:ind w:left="2113" w:hanging="360"/>
      </w:pPr>
    </w:lvl>
    <w:lvl w:ilvl="2">
      <w:start w:val="1"/>
      <w:numFmt w:val="lowerRoman"/>
      <w:lvlText w:val="%3."/>
      <w:lvlJc w:val="right"/>
      <w:pPr>
        <w:tabs>
          <w:tab w:val="num" w:pos="106"/>
        </w:tabs>
        <w:ind w:left="2833" w:hanging="180"/>
      </w:pPr>
    </w:lvl>
    <w:lvl w:ilvl="3">
      <w:start w:val="1"/>
      <w:numFmt w:val="decimal"/>
      <w:lvlText w:val="%4."/>
      <w:lvlJc w:val="left"/>
      <w:pPr>
        <w:tabs>
          <w:tab w:val="num" w:pos="106"/>
        </w:tabs>
        <w:ind w:left="3553" w:hanging="360"/>
      </w:pPr>
    </w:lvl>
    <w:lvl w:ilvl="4">
      <w:start w:val="1"/>
      <w:numFmt w:val="lowerLetter"/>
      <w:lvlText w:val="%5."/>
      <w:lvlJc w:val="left"/>
      <w:pPr>
        <w:tabs>
          <w:tab w:val="num" w:pos="106"/>
        </w:tabs>
        <w:ind w:left="4273" w:hanging="360"/>
      </w:pPr>
    </w:lvl>
    <w:lvl w:ilvl="5">
      <w:start w:val="1"/>
      <w:numFmt w:val="lowerRoman"/>
      <w:lvlText w:val="%6."/>
      <w:lvlJc w:val="right"/>
      <w:pPr>
        <w:tabs>
          <w:tab w:val="num" w:pos="106"/>
        </w:tabs>
        <w:ind w:left="4993" w:hanging="180"/>
      </w:pPr>
    </w:lvl>
    <w:lvl w:ilvl="6">
      <w:start w:val="1"/>
      <w:numFmt w:val="decimal"/>
      <w:lvlText w:val="%7."/>
      <w:lvlJc w:val="left"/>
      <w:pPr>
        <w:tabs>
          <w:tab w:val="num" w:pos="106"/>
        </w:tabs>
        <w:ind w:left="5713" w:hanging="360"/>
      </w:pPr>
    </w:lvl>
    <w:lvl w:ilvl="7">
      <w:start w:val="1"/>
      <w:numFmt w:val="lowerLetter"/>
      <w:lvlText w:val="%8."/>
      <w:lvlJc w:val="left"/>
      <w:pPr>
        <w:tabs>
          <w:tab w:val="num" w:pos="106"/>
        </w:tabs>
        <w:ind w:left="6433" w:hanging="360"/>
      </w:pPr>
    </w:lvl>
    <w:lvl w:ilvl="8">
      <w:start w:val="1"/>
      <w:numFmt w:val="lowerRoman"/>
      <w:lvlText w:val="%9."/>
      <w:lvlJc w:val="right"/>
      <w:pPr>
        <w:tabs>
          <w:tab w:val="num" w:pos="106"/>
        </w:tabs>
        <w:ind w:left="7153" w:hanging="180"/>
      </w:p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6796"/>
    <w:rsid w:val="000371D3"/>
    <w:rsid w:val="000F11EC"/>
    <w:rsid w:val="000F2DD9"/>
    <w:rsid w:val="000F6763"/>
    <w:rsid w:val="00112175"/>
    <w:rsid w:val="0015279C"/>
    <w:rsid w:val="00224AA6"/>
    <w:rsid w:val="00227F60"/>
    <w:rsid w:val="00235244"/>
    <w:rsid w:val="002526F1"/>
    <w:rsid w:val="002C3830"/>
    <w:rsid w:val="002E043D"/>
    <w:rsid w:val="00303EAC"/>
    <w:rsid w:val="003C56CD"/>
    <w:rsid w:val="004C5262"/>
    <w:rsid w:val="0057533E"/>
    <w:rsid w:val="006730B8"/>
    <w:rsid w:val="00694682"/>
    <w:rsid w:val="006E1DEA"/>
    <w:rsid w:val="006E7F4D"/>
    <w:rsid w:val="00717483"/>
    <w:rsid w:val="0090799A"/>
    <w:rsid w:val="009D4AD9"/>
    <w:rsid w:val="009E0DE6"/>
    <w:rsid w:val="009F4721"/>
    <w:rsid w:val="00A46679"/>
    <w:rsid w:val="00A54BA3"/>
    <w:rsid w:val="00AB181E"/>
    <w:rsid w:val="00B06EB0"/>
    <w:rsid w:val="00B22F8E"/>
    <w:rsid w:val="00B43064"/>
    <w:rsid w:val="00C309A2"/>
    <w:rsid w:val="00C425D1"/>
    <w:rsid w:val="00C75DEB"/>
    <w:rsid w:val="00CA5485"/>
    <w:rsid w:val="00DA6933"/>
    <w:rsid w:val="00DB1137"/>
    <w:rsid w:val="00E830D0"/>
    <w:rsid w:val="00F2493A"/>
    <w:rsid w:val="00F47A0D"/>
    <w:rsid w:val="00FD33C7"/>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382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StandardWeb">
    <w:name w:val="Normal (Web)"/>
    <w:basedOn w:val="Standard"/>
    <w:uiPriority w:val="99"/>
    <w:unhideWhenUsed/>
    <w:rsid w:val="006E1DEA"/>
    <w:pPr>
      <w:spacing w:before="0" w:line="240" w:lineRule="auto"/>
      <w:jc w:val="left"/>
    </w:pPr>
    <w:rPr>
      <w:rFonts w:ascii="Calibri" w:eastAsiaTheme="minorEastAsia" w:hAnsi="Calibri" w:cs="Calibri"/>
      <w:lang w:val="de-DE" w:eastAsia="de-DE"/>
    </w:rPr>
  </w:style>
  <w:style w:type="character" w:styleId="BesuchterLink">
    <w:name w:val="FollowedHyperlink"/>
    <w:basedOn w:val="Absatz-Standardschriftart"/>
    <w:uiPriority w:val="99"/>
    <w:semiHidden/>
    <w:unhideWhenUsed/>
    <w:rsid w:val="0057533E"/>
    <w:rPr>
      <w:color w:val="954F72" w:themeColor="followedHyperlink"/>
      <w:u w:val="single"/>
    </w:rPr>
  </w:style>
  <w:style w:type="character" w:styleId="Kommentarzeichen">
    <w:name w:val="annotation reference"/>
    <w:basedOn w:val="Absatz-Standardschriftart"/>
    <w:uiPriority w:val="99"/>
    <w:semiHidden/>
    <w:unhideWhenUsed/>
    <w:rsid w:val="00F2493A"/>
    <w:rPr>
      <w:sz w:val="16"/>
      <w:szCs w:val="16"/>
    </w:rPr>
  </w:style>
  <w:style w:type="paragraph" w:styleId="Kommentartext">
    <w:name w:val="annotation text"/>
    <w:basedOn w:val="Standard"/>
    <w:link w:val="KommentartextZchn"/>
    <w:uiPriority w:val="99"/>
    <w:semiHidden/>
    <w:unhideWhenUsed/>
    <w:rsid w:val="00F2493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493A"/>
    <w:rPr>
      <w:rFonts w:ascii="Libertinus Serif" w:hAnsi="Libertinus Serif"/>
      <w:sz w:val="20"/>
      <w:szCs w:val="20"/>
    </w:rPr>
  </w:style>
  <w:style w:type="paragraph" w:styleId="Kommentarthema">
    <w:name w:val="annotation subject"/>
    <w:basedOn w:val="Kommentartext"/>
    <w:next w:val="Kommentartext"/>
    <w:link w:val="KommentarthemaZchn"/>
    <w:uiPriority w:val="99"/>
    <w:semiHidden/>
    <w:unhideWhenUsed/>
    <w:rsid w:val="00F2493A"/>
    <w:rPr>
      <w:b/>
      <w:bCs/>
    </w:rPr>
  </w:style>
  <w:style w:type="character" w:customStyle="1" w:styleId="KommentarthemaZchn">
    <w:name w:val="Kommentarthema Zchn"/>
    <w:basedOn w:val="KommentartextZchn"/>
    <w:link w:val="Kommentarthema"/>
    <w:uiPriority w:val="99"/>
    <w:semiHidden/>
    <w:rsid w:val="00F2493A"/>
    <w:rPr>
      <w:rFonts w:ascii="Libertinus Serif" w:hAnsi="Libertinus Serif"/>
      <w:b/>
      <w:bCs/>
      <w:sz w:val="20"/>
      <w:szCs w:val="20"/>
    </w:rPr>
  </w:style>
  <w:style w:type="character" w:styleId="NichtaufgelsteErwhnung">
    <w:name w:val="Unresolved Mention"/>
    <w:basedOn w:val="Absatz-Standardschriftart"/>
    <w:uiPriority w:val="99"/>
    <w:semiHidden/>
    <w:unhideWhenUsed/>
    <w:rsid w:val="00252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katrin.schlund@slavistik.uni-halle.de" TargetMode="External"/><Relationship Id="rId3" Type="http://schemas.openxmlformats.org/officeDocument/2006/relationships/settings" Target="settings.xml"/><Relationship Id="rId7" Type="http://schemas.openxmlformats.org/officeDocument/2006/relationships/hyperlink" Target="mailto:anna.pavlova@gmx.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5075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Katrin Schlund</cp:lastModifiedBy>
  <cp:revision>2</cp:revision>
  <cp:lastPrinted>2023-05-05T11:56:00Z</cp:lastPrinted>
  <dcterms:created xsi:type="dcterms:W3CDTF">2023-05-05T11:59:00Z</dcterms:created>
  <dcterms:modified xsi:type="dcterms:W3CDTF">2023-05-05T11:59:00Z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