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B8422" w14:textId="77777777" w:rsidR="00AB181E" w:rsidRDefault="00A105B3" w:rsidP="00A105B3">
      <w:pPr>
        <w:pStyle w:val="Author"/>
      </w:pPr>
      <w:r>
        <w:t>Pilar Ron Vaz</w:t>
      </w:r>
    </w:p>
    <w:p w14:paraId="79E8DAA6" w14:textId="77777777" w:rsidR="00A105B3" w:rsidRPr="00A105B3" w:rsidRDefault="00A105B3" w:rsidP="00A105B3">
      <w:pPr>
        <w:pStyle w:val="Ttulo"/>
      </w:pPr>
      <w:r w:rsidRPr="00A105B3">
        <w:t>Not to mention “</w:t>
      </w:r>
      <w:proofErr w:type="spellStart"/>
      <w:r w:rsidRPr="00A105B3">
        <w:t>por</w:t>
      </w:r>
      <w:proofErr w:type="spellEnd"/>
      <w:r w:rsidRPr="00A105B3">
        <w:t xml:space="preserve"> no </w:t>
      </w:r>
      <w:proofErr w:type="spellStart"/>
      <w:r w:rsidRPr="00A105B3">
        <w:t>decir</w:t>
      </w:r>
      <w:proofErr w:type="spellEnd"/>
      <w:r w:rsidRPr="00A105B3">
        <w:t>”: A contrastive study of a complementary alternation discourse constructions in English and Spanish</w:t>
      </w:r>
    </w:p>
    <w:p w14:paraId="75190B63" w14:textId="77777777" w:rsidR="00A105B3" w:rsidRDefault="00A105B3" w:rsidP="00A105B3">
      <w:pPr>
        <w:pStyle w:val="Keywords"/>
        <w:jc w:val="left"/>
      </w:pPr>
      <w:r>
        <w:rPr>
          <w:b/>
          <w:szCs w:val="20"/>
        </w:rPr>
        <w:t>Keywords:</w:t>
      </w:r>
      <w:r>
        <w:rPr>
          <w:szCs w:val="20"/>
        </w:rPr>
        <w:t xml:space="preserve"> </w:t>
      </w:r>
      <w:r w:rsidR="00B76A3D">
        <w:rPr>
          <w:szCs w:val="20"/>
        </w:rPr>
        <w:t>complementary alternation; not to say/</w:t>
      </w:r>
      <w:proofErr w:type="spellStart"/>
      <w:r w:rsidR="00B76A3D">
        <w:rPr>
          <w:szCs w:val="20"/>
        </w:rPr>
        <w:t>por</w:t>
      </w:r>
      <w:proofErr w:type="spellEnd"/>
      <w:r w:rsidR="00B76A3D">
        <w:rPr>
          <w:szCs w:val="20"/>
        </w:rPr>
        <w:t xml:space="preserve"> no </w:t>
      </w:r>
      <w:proofErr w:type="spellStart"/>
      <w:r w:rsidR="00B76A3D">
        <w:rPr>
          <w:szCs w:val="20"/>
        </w:rPr>
        <w:t>decir</w:t>
      </w:r>
      <w:proofErr w:type="spellEnd"/>
      <w:r w:rsidR="00B76A3D">
        <w:rPr>
          <w:szCs w:val="20"/>
        </w:rPr>
        <w:t>; corpus analysis</w:t>
      </w:r>
    </w:p>
    <w:p w14:paraId="5CD6C32F" w14:textId="77777777" w:rsidR="00A105B3" w:rsidRDefault="00A105B3" w:rsidP="00A105B3">
      <w:pPr>
        <w:rPr>
          <w:rFonts w:ascii="Times New Roman" w:eastAsia="Times New Roman" w:hAnsi="Times New Roman" w:cs="Times New Roman"/>
          <w:noProof/>
          <w:sz w:val="24"/>
          <w:szCs w:val="24"/>
          <w:lang w:val="en-US" w:eastAsia="es-ES"/>
        </w:rPr>
      </w:pPr>
    </w:p>
    <w:p w14:paraId="360AC368" w14:textId="77777777" w:rsidR="00A105B3" w:rsidRPr="00A105B3" w:rsidRDefault="00A105B3" w:rsidP="00A105B3">
      <w:r w:rsidRPr="00A105B3">
        <w:t xml:space="preserve">English has </w:t>
      </w:r>
      <w:r w:rsidR="00B76A3D" w:rsidRPr="00A105B3">
        <w:t>several</w:t>
      </w:r>
      <w:r w:rsidRPr="00A105B3">
        <w:t xml:space="preserve"> </w:t>
      </w:r>
      <w:r w:rsidR="00B76A3D">
        <w:rPr>
          <w:rFonts w:cs="Droid Sans Devanagari"/>
        </w:rPr>
        <w:t>c</w:t>
      </w:r>
      <w:r w:rsidR="00B76A3D" w:rsidRPr="00B76A3D">
        <w:rPr>
          <w:rFonts w:cs="Droid Sans Devanagari"/>
        </w:rPr>
        <w:t>omplementary alternation discourse</w:t>
      </w:r>
      <w:r w:rsidR="00B76A3D">
        <w:rPr>
          <w:rFonts w:cs="Droid Sans Devanagari"/>
          <w:sz w:val="19"/>
        </w:rPr>
        <w:t xml:space="preserve"> </w:t>
      </w:r>
      <w:r w:rsidRPr="00A105B3">
        <w:t xml:space="preserve">constructions where two elements X and Y are presented in contrast within an entailment scale, with Y representing a stronger element in the scale, and considered to be more (or less) likely to occur: X if not Y, X, let alone Y, X never mind Y, among others (Fillmore et al 1988; Ranger 2007, Penner 2018; </w:t>
      </w:r>
      <w:proofErr w:type="spellStart"/>
      <w:r w:rsidRPr="00A105B3">
        <w:t>Erviti</w:t>
      </w:r>
      <w:proofErr w:type="spellEnd"/>
      <w:r w:rsidRPr="00A105B3">
        <w:t xml:space="preserve"> 2015; Sawada 2003; Capelle et al 2015; </w:t>
      </w:r>
      <w:r w:rsidR="00EE5A4E">
        <w:t>Ron Vaz</w:t>
      </w:r>
      <w:r w:rsidRPr="00A105B3">
        <w:t xml:space="preserve"> 2021, 2022).</w:t>
      </w:r>
    </w:p>
    <w:p w14:paraId="55F744BF" w14:textId="77777777" w:rsidR="00A105B3" w:rsidRPr="00A105B3" w:rsidRDefault="00A105B3" w:rsidP="00A105B3">
      <w:r w:rsidRPr="00A105B3">
        <w:t xml:space="preserve">This paper focuses on one such construction “X not to mention/say Y” and contrasts it with the Spanish construction “X </w:t>
      </w:r>
      <w:proofErr w:type="spellStart"/>
      <w:r w:rsidRPr="00A105B3">
        <w:t>por</w:t>
      </w:r>
      <w:proofErr w:type="spellEnd"/>
      <w:r w:rsidRPr="00A105B3">
        <w:t xml:space="preserve"> no </w:t>
      </w:r>
      <w:proofErr w:type="spellStart"/>
      <w:r w:rsidRPr="00A105B3">
        <w:t>decir</w:t>
      </w:r>
      <w:proofErr w:type="spellEnd"/>
      <w:r w:rsidRPr="00A105B3">
        <w:t>/</w:t>
      </w:r>
      <w:proofErr w:type="spellStart"/>
      <w:r w:rsidRPr="00A105B3">
        <w:t>mencionar</w:t>
      </w:r>
      <w:proofErr w:type="spellEnd"/>
      <w:r w:rsidRPr="00A105B3">
        <w:t xml:space="preserve"> Y</w:t>
      </w:r>
      <w:proofErr w:type="gramStart"/>
      <w:r w:rsidRPr="00A105B3">
        <w:t>”.</w:t>
      </w:r>
      <w:proofErr w:type="gramEnd"/>
      <w:r w:rsidRPr="00A105B3">
        <w:t xml:space="preserve">  These constructions may present the Y element as an additional element to be </w:t>
      </w:r>
      <w:r w:rsidR="00B76A3D" w:rsidRPr="00A105B3">
        <w:t>interpreted</w:t>
      </w:r>
      <w:r w:rsidRPr="00A105B3">
        <w:t xml:space="preserve"> (and highlighted), as in (1)-(2), or the two elements are presented in contrast with one being considered more or less likely to occur than the other, as in (3)-(4):</w:t>
      </w:r>
    </w:p>
    <w:p w14:paraId="0A1536AC" w14:textId="77777777" w:rsidR="00A105B3" w:rsidRPr="00A105B3" w:rsidRDefault="00A105B3" w:rsidP="00B76A3D">
      <w:pPr>
        <w:pStyle w:val="Example"/>
        <w:spacing w:before="120"/>
        <w:ind w:left="454" w:hanging="454"/>
      </w:pPr>
      <w:r w:rsidRPr="00A105B3">
        <w:t>One of the best and memorable experiences is seeing the underwater beauty of this island. Through this you would be able to know the different kinds of creatures under the sea. This adventure is very perfect for this place since the water is clear and blue not to mention the unique and beautiful creatures under the water.</w:t>
      </w:r>
    </w:p>
    <w:p w14:paraId="6ADF0B72" w14:textId="77777777" w:rsidR="00A105B3" w:rsidRPr="00E05096" w:rsidRDefault="00A105B3" w:rsidP="00B76A3D">
      <w:pPr>
        <w:pStyle w:val="Example"/>
        <w:spacing w:before="120"/>
        <w:ind w:left="454" w:hanging="454"/>
        <w:rPr>
          <w:lang w:val="es-ES"/>
        </w:rPr>
      </w:pPr>
      <w:r w:rsidRPr="00E05096">
        <w:rPr>
          <w:lang w:val="es-ES"/>
        </w:rPr>
        <w:t>La publicidad es bastante aburrida, por no decir que cada vez dura más y más.</w:t>
      </w:r>
    </w:p>
    <w:p w14:paraId="09C6FFA4" w14:textId="77777777" w:rsidR="00A105B3" w:rsidRPr="00A105B3" w:rsidRDefault="00A105B3" w:rsidP="00B76A3D">
      <w:pPr>
        <w:pStyle w:val="Example"/>
        <w:spacing w:before="120"/>
        <w:ind w:left="454" w:hanging="454"/>
      </w:pPr>
      <w:r w:rsidRPr="00A105B3">
        <w:t>But beyond the shiny exterior, my impressions found a city whose social fabric is a bit unsustainable, not to mention inadequate to hold together the dreams and aspirations of the size of this city's</w:t>
      </w:r>
    </w:p>
    <w:p w14:paraId="3249E75C" w14:textId="77777777" w:rsidR="00A105B3" w:rsidRPr="00B76A3D" w:rsidRDefault="00A105B3" w:rsidP="00B76A3D">
      <w:pPr>
        <w:pStyle w:val="Example"/>
        <w:spacing w:before="120"/>
        <w:ind w:left="454" w:hanging="454"/>
        <w:rPr>
          <w:lang w:val="es-ES"/>
        </w:rPr>
      </w:pPr>
      <w:r w:rsidRPr="00B76A3D">
        <w:rPr>
          <w:lang w:val="es-ES"/>
        </w:rPr>
        <w:t xml:space="preserve">Miles de hogares están sin electricidad porque las compañías les han cortado el suministro, </w:t>
      </w:r>
      <w:proofErr w:type="gramStart"/>
      <w:r w:rsidRPr="00B76A3D">
        <w:rPr>
          <w:lang w:val="es-ES"/>
        </w:rPr>
        <w:t>otras miles</w:t>
      </w:r>
      <w:proofErr w:type="gramEnd"/>
      <w:r w:rsidRPr="00B76A3D">
        <w:rPr>
          <w:lang w:val="es-ES"/>
        </w:rPr>
        <w:t>, por no decir millones, hacen malabares para pagar el dichoso recibo de la luz más cara del mundo …</w:t>
      </w:r>
    </w:p>
    <w:p w14:paraId="583D716A" w14:textId="77777777" w:rsidR="00A105B3" w:rsidRPr="00A105B3" w:rsidRDefault="00A105B3" w:rsidP="00A105B3">
      <w:r w:rsidRPr="00A105B3">
        <w:t xml:space="preserve">A corpus analysis contrasting American English data from the Corpus of Contemporary American English (Davies 2008) and European Spanish data form the Corpus del </w:t>
      </w:r>
      <w:proofErr w:type="spellStart"/>
      <w:r w:rsidRPr="00A105B3">
        <w:t>Español</w:t>
      </w:r>
      <w:proofErr w:type="spellEnd"/>
      <w:r w:rsidRPr="00A105B3">
        <w:t xml:space="preserve"> (Davies 2016) has been conducted focusing on two distinct goals: (a) a characterization of the relationship(s) between the X and Y elements; and (b) the analysis of the discursive function(s) of these constructions. The results shows that these two factors are interrelated and that the nature of the relationship and whether an actual entailment scale is presented affects the interpretation and use of the construction.</w:t>
      </w:r>
    </w:p>
    <w:p w14:paraId="4834C3CD" w14:textId="77777777" w:rsidR="00AB181E" w:rsidRDefault="00224AA6">
      <w:pPr>
        <w:pStyle w:val="Textoconsangra"/>
      </w:pPr>
      <w:r>
        <w:t>References</w:t>
      </w:r>
    </w:p>
    <w:p w14:paraId="2B487693" w14:textId="77777777" w:rsidR="00A105B3" w:rsidRPr="00A105B3" w:rsidRDefault="00A105B3" w:rsidP="00A105B3">
      <w:pPr>
        <w:pStyle w:val="Literaturverzeichnis1"/>
        <w:ind w:left="397" w:hanging="397"/>
      </w:pPr>
      <w:proofErr w:type="spellStart"/>
      <w:r w:rsidRPr="00A105B3">
        <w:t>Cappelle</w:t>
      </w:r>
      <w:proofErr w:type="spellEnd"/>
      <w:r w:rsidRPr="00A105B3">
        <w:t xml:space="preserve">, Bert, Dugas, </w:t>
      </w:r>
      <w:proofErr w:type="spellStart"/>
      <w:r w:rsidRPr="00A105B3">
        <w:t>Edwige</w:t>
      </w:r>
      <w:proofErr w:type="spellEnd"/>
      <w:r w:rsidRPr="00A105B3">
        <w:t xml:space="preserve"> and, Tobin Vera</w:t>
      </w:r>
      <w:r>
        <w:t xml:space="preserve"> (</w:t>
      </w:r>
      <w:r w:rsidRPr="00A105B3">
        <w:t>2015</w:t>
      </w:r>
      <w:r>
        <w:t>):</w:t>
      </w:r>
      <w:r w:rsidRPr="00A105B3">
        <w:t xml:space="preserve"> An afterthought on let alone. </w:t>
      </w:r>
      <w:r w:rsidR="00B76A3D">
        <w:t xml:space="preserve">In: </w:t>
      </w:r>
      <w:r w:rsidRPr="00A105B3">
        <w:t>Journal of Pragma</w:t>
      </w:r>
      <w:r w:rsidR="00B76A3D">
        <w:t>t</w:t>
      </w:r>
      <w:r w:rsidRPr="00A105B3">
        <w:t>ics 80: 70-85</w:t>
      </w:r>
    </w:p>
    <w:p w14:paraId="15F9BCD9" w14:textId="77777777" w:rsidR="00A105B3" w:rsidRPr="00A105B3" w:rsidRDefault="00A105B3" w:rsidP="00A105B3">
      <w:pPr>
        <w:pStyle w:val="Literaturverzeichnis1"/>
        <w:ind w:left="397" w:hanging="397"/>
      </w:pPr>
      <w:r w:rsidRPr="00A105B3">
        <w:lastRenderedPageBreak/>
        <w:t xml:space="preserve">Davies, Mark </w:t>
      </w:r>
      <w:r>
        <w:t>(</w:t>
      </w:r>
      <w:r w:rsidRPr="00A105B3">
        <w:t>2008-</w:t>
      </w:r>
      <w:r>
        <w:t>):</w:t>
      </w:r>
      <w:r w:rsidRPr="00A105B3">
        <w:t xml:space="preserve"> The Corpus of Contemporary American English (COCA): One billion words, 1990-2019. Available online at </w:t>
      </w:r>
      <w:hyperlink r:id="rId7" w:history="1">
        <w:r w:rsidRPr="00D44E8C">
          <w:rPr>
            <w:rStyle w:val="Hipervnculo"/>
          </w:rPr>
          <w:t>https://www.english-corpora.org/coca/</w:t>
        </w:r>
      </w:hyperlink>
      <w:r w:rsidR="00B76A3D">
        <w:t xml:space="preserve"> (last a</w:t>
      </w:r>
      <w:r w:rsidR="00B76A3D" w:rsidRPr="00A105B3">
        <w:t>ccess</w:t>
      </w:r>
      <w:r w:rsidR="00B76A3D">
        <w:t>:</w:t>
      </w:r>
      <w:r w:rsidR="00B76A3D" w:rsidRPr="00A105B3">
        <w:t xml:space="preserve"> </w:t>
      </w:r>
      <w:r w:rsidR="00B76A3D">
        <w:t xml:space="preserve">8 February </w:t>
      </w:r>
      <w:r w:rsidR="00B76A3D" w:rsidRPr="00A105B3">
        <w:t>202</w:t>
      </w:r>
      <w:r w:rsidR="00B76A3D">
        <w:t>3).</w:t>
      </w:r>
    </w:p>
    <w:p w14:paraId="28CE8356" w14:textId="77777777" w:rsidR="00A105B3" w:rsidRPr="00A105B3" w:rsidRDefault="00A105B3" w:rsidP="00A105B3">
      <w:pPr>
        <w:pStyle w:val="Literaturverzeichnis1"/>
        <w:ind w:left="397" w:hanging="397"/>
      </w:pPr>
      <w:r w:rsidRPr="00A105B3">
        <w:rPr>
          <w:lang w:val="es-ES"/>
        </w:rPr>
        <w:t>Davies, Mark (2016-): Corpus del Español: Web/</w:t>
      </w:r>
      <w:proofErr w:type="spellStart"/>
      <w:r w:rsidRPr="00A105B3">
        <w:rPr>
          <w:lang w:val="es-ES"/>
        </w:rPr>
        <w:t>Dialects</w:t>
      </w:r>
      <w:proofErr w:type="spellEnd"/>
      <w:r w:rsidRPr="00A105B3">
        <w:rPr>
          <w:lang w:val="es-ES"/>
        </w:rPr>
        <w:t xml:space="preserve">. </w:t>
      </w:r>
      <w:r w:rsidRPr="00A105B3">
        <w:t xml:space="preserve">Available online at </w:t>
      </w:r>
      <w:hyperlink r:id="rId8" w:history="1">
        <w:r w:rsidR="00B76A3D" w:rsidRPr="00D44E8C">
          <w:rPr>
            <w:rStyle w:val="Hipervnculo"/>
          </w:rPr>
          <w:t>http://www.corpusdelespanol.org/web-dial/</w:t>
        </w:r>
      </w:hyperlink>
      <w:r w:rsidR="00B76A3D">
        <w:t xml:space="preserve"> (last a</w:t>
      </w:r>
      <w:r w:rsidR="00B76A3D" w:rsidRPr="00A105B3">
        <w:t>ccess</w:t>
      </w:r>
      <w:r w:rsidR="00B76A3D">
        <w:t>:</w:t>
      </w:r>
      <w:r w:rsidR="00B76A3D" w:rsidRPr="00A105B3">
        <w:t xml:space="preserve"> </w:t>
      </w:r>
      <w:r w:rsidR="00B76A3D">
        <w:t xml:space="preserve">8 February </w:t>
      </w:r>
      <w:r w:rsidR="00B76A3D" w:rsidRPr="00A105B3">
        <w:t>202</w:t>
      </w:r>
      <w:r w:rsidR="00B76A3D">
        <w:t>3).</w:t>
      </w:r>
    </w:p>
    <w:p w14:paraId="15913E0E" w14:textId="77777777" w:rsidR="00A105B3" w:rsidRPr="00A105B3" w:rsidRDefault="00A105B3" w:rsidP="00A105B3">
      <w:pPr>
        <w:pStyle w:val="Literaturverzeichnis1"/>
        <w:ind w:left="397" w:hanging="397"/>
      </w:pPr>
      <w:proofErr w:type="spellStart"/>
      <w:r w:rsidRPr="00A105B3">
        <w:t>Erviti</w:t>
      </w:r>
      <w:proofErr w:type="spellEnd"/>
      <w:r w:rsidRPr="00A105B3">
        <w:t xml:space="preserve">, </w:t>
      </w:r>
      <w:proofErr w:type="spellStart"/>
      <w:r w:rsidRPr="00A105B3">
        <w:t>Aneider</w:t>
      </w:r>
      <w:proofErr w:type="spellEnd"/>
      <w:r w:rsidRPr="00A105B3">
        <w:t xml:space="preserve"> Iza</w:t>
      </w:r>
      <w:r>
        <w:t xml:space="preserve"> (</w:t>
      </w:r>
      <w:r w:rsidRPr="00A105B3">
        <w:t>2015</w:t>
      </w:r>
      <w:r>
        <w:t>):</w:t>
      </w:r>
      <w:r w:rsidRPr="00A105B3">
        <w:t xml:space="preserve"> Complementary alternation discourse constructions in English: A preliminary study.  </w:t>
      </w:r>
      <w:r w:rsidR="00B76A3D">
        <w:t xml:space="preserve">In: </w:t>
      </w:r>
      <w:r w:rsidRPr="00A105B3">
        <w:t>International Journal of English Studies 15: 71-96</w:t>
      </w:r>
      <w:r w:rsidR="00B76A3D">
        <w:t>.</w:t>
      </w:r>
    </w:p>
    <w:p w14:paraId="00066154" w14:textId="77777777" w:rsidR="00A105B3" w:rsidRPr="00A105B3" w:rsidRDefault="00A105B3" w:rsidP="00A105B3">
      <w:pPr>
        <w:pStyle w:val="Literaturverzeichnis1"/>
        <w:ind w:left="397" w:hanging="397"/>
      </w:pPr>
      <w:r w:rsidRPr="00A105B3">
        <w:t xml:space="preserve">Fillmore, C., P. Kay, P. &amp; O'Connor, C. </w:t>
      </w:r>
      <w:r>
        <w:t>(</w:t>
      </w:r>
      <w:r w:rsidRPr="00A105B3">
        <w:t>1988</w:t>
      </w:r>
      <w:r>
        <w:t>):</w:t>
      </w:r>
      <w:r w:rsidRPr="00A105B3">
        <w:t xml:space="preserve"> Regularity and idiomaticity in grammatical constructions: The case of let alone. </w:t>
      </w:r>
      <w:r w:rsidR="00B76A3D">
        <w:t xml:space="preserve">In: </w:t>
      </w:r>
      <w:r w:rsidRPr="00A105B3">
        <w:t>Language 64: 501–538.</w:t>
      </w:r>
    </w:p>
    <w:p w14:paraId="0FD07683" w14:textId="77777777" w:rsidR="00A105B3" w:rsidRPr="00A105B3" w:rsidRDefault="00A105B3" w:rsidP="00A105B3">
      <w:pPr>
        <w:pStyle w:val="Literaturverzeichnis1"/>
        <w:ind w:left="397" w:hanging="397"/>
      </w:pPr>
      <w:proofErr w:type="spellStart"/>
      <w:r w:rsidRPr="00A105B3">
        <w:t>Pennec</w:t>
      </w:r>
      <w:proofErr w:type="spellEnd"/>
      <w:r w:rsidRPr="00A105B3">
        <w:t xml:space="preserve">, Blandine </w:t>
      </w:r>
      <w:r>
        <w:t>(</w:t>
      </w:r>
      <w:r w:rsidRPr="00A105B3">
        <w:t>2018</w:t>
      </w:r>
      <w:r>
        <w:t>)</w:t>
      </w:r>
      <w:r w:rsidRPr="00A105B3">
        <w:t xml:space="preserve"> Discourse Readjustment(s) in Contemporary English. London: Wiley.</w:t>
      </w:r>
    </w:p>
    <w:p w14:paraId="4B5F2C66" w14:textId="77777777" w:rsidR="00A105B3" w:rsidRPr="00A105B3" w:rsidRDefault="00A105B3" w:rsidP="00A105B3">
      <w:pPr>
        <w:pStyle w:val="Literaturverzeichnis1"/>
        <w:ind w:left="397" w:hanging="397"/>
      </w:pPr>
      <w:r w:rsidRPr="00A105B3">
        <w:t>Ranger, Graham</w:t>
      </w:r>
      <w:r>
        <w:t xml:space="preserve"> (</w:t>
      </w:r>
      <w:r w:rsidRPr="00A105B3">
        <w:t>2007</w:t>
      </w:r>
      <w:r>
        <w:t>)</w:t>
      </w:r>
      <w:r w:rsidRPr="00A105B3">
        <w:t xml:space="preserve"> All this, if not more. Paper presented at the 47th </w:t>
      </w:r>
      <w:proofErr w:type="spellStart"/>
      <w:r w:rsidRPr="00A105B3">
        <w:t>Congrès</w:t>
      </w:r>
      <w:proofErr w:type="spellEnd"/>
      <w:r w:rsidRPr="00A105B3">
        <w:t xml:space="preserve"> de la Société des </w:t>
      </w:r>
      <w:proofErr w:type="spellStart"/>
      <w:r w:rsidRPr="00A105B3">
        <w:t>Anglicistes</w:t>
      </w:r>
      <w:proofErr w:type="spellEnd"/>
      <w:r w:rsidRPr="00A105B3">
        <w:t xml:space="preserve"> de </w:t>
      </w:r>
      <w:proofErr w:type="spellStart"/>
      <w:r w:rsidRPr="00A105B3">
        <w:t>l'Enseignement</w:t>
      </w:r>
      <w:proofErr w:type="spellEnd"/>
      <w:r w:rsidRPr="00A105B3">
        <w:t xml:space="preserve"> </w:t>
      </w:r>
      <w:proofErr w:type="spellStart"/>
      <w:r w:rsidRPr="00A105B3">
        <w:t>Supérieur</w:t>
      </w:r>
      <w:proofErr w:type="spellEnd"/>
      <w:r w:rsidRPr="00A105B3">
        <w:t xml:space="preserve">. </w:t>
      </w:r>
      <w:hyperlink r:id="rId9" w:history="1">
        <w:r w:rsidRPr="00A105B3">
          <w:rPr>
            <w:rStyle w:val="Hipervnculo"/>
          </w:rPr>
          <w:t>https://www.academia.edu/10481316/All_this_if_not_more</w:t>
        </w:r>
      </w:hyperlink>
      <w:r>
        <w:t xml:space="preserve"> </w:t>
      </w:r>
      <w:r w:rsidRPr="00A105B3">
        <w:t xml:space="preserve"> </w:t>
      </w:r>
      <w:r>
        <w:t>(last a</w:t>
      </w:r>
      <w:r w:rsidRPr="00A105B3">
        <w:t>ccess</w:t>
      </w:r>
      <w:r>
        <w:t>:</w:t>
      </w:r>
      <w:r w:rsidRPr="00A105B3">
        <w:t xml:space="preserve"> 12</w:t>
      </w:r>
      <w:r>
        <w:t xml:space="preserve"> </w:t>
      </w:r>
      <w:r w:rsidRPr="00A105B3">
        <w:t>April</w:t>
      </w:r>
      <w:r>
        <w:t xml:space="preserve"> </w:t>
      </w:r>
      <w:r w:rsidRPr="00A105B3">
        <w:t>2020</w:t>
      </w:r>
      <w:r>
        <w:t>).</w:t>
      </w:r>
    </w:p>
    <w:p w14:paraId="1D371E04" w14:textId="77777777" w:rsidR="00A105B3" w:rsidRPr="00A105B3" w:rsidRDefault="00A105B3" w:rsidP="00A105B3">
      <w:pPr>
        <w:pStyle w:val="Literaturverzeichnis1"/>
        <w:ind w:left="397" w:hanging="397"/>
      </w:pPr>
      <w:r>
        <w:t>Ron Vaz, Pilar (</w:t>
      </w:r>
      <w:r w:rsidRPr="00A105B3">
        <w:t>2021</w:t>
      </w:r>
      <w:r>
        <w:t>):</w:t>
      </w:r>
      <w:r w:rsidRPr="00A105B3">
        <w:t xml:space="preserve"> Most if not All: On the Ambiguity of “X if not Y” Constructions. Paper presented at the 44th International AEDEAN Conference, University of Cantabria, November 24th-26th, 2021.</w:t>
      </w:r>
    </w:p>
    <w:p w14:paraId="6687425D" w14:textId="77777777" w:rsidR="00A105B3" w:rsidRPr="00A105B3" w:rsidRDefault="00A105B3" w:rsidP="00A105B3">
      <w:pPr>
        <w:pStyle w:val="Literaturverzeichnis1"/>
        <w:ind w:left="397" w:hanging="397"/>
      </w:pPr>
      <w:r>
        <w:t>Ron Vaz, Pilar (2022):</w:t>
      </w:r>
      <w:r w:rsidRPr="00A105B3">
        <w:t xml:space="preserve"> Register Variation in the Use of the “X if not Y” Construction: An Analysis of Blogs, Magazines, and Academic Language. Paper presented at the 13th International Corpus Linguistic Conference, University of Bergamo (Italy), May 26th-28th, 2022.</w:t>
      </w:r>
    </w:p>
    <w:p w14:paraId="6E09CB7D" w14:textId="77777777" w:rsidR="00A105B3" w:rsidRPr="00A105B3" w:rsidRDefault="00A105B3" w:rsidP="00A105B3">
      <w:pPr>
        <w:pStyle w:val="Literaturverzeichnis1"/>
        <w:ind w:left="397" w:hanging="397"/>
      </w:pPr>
      <w:r w:rsidRPr="00A105B3">
        <w:t xml:space="preserve">Sawada, Osamu </w:t>
      </w:r>
      <w:r>
        <w:t>(</w:t>
      </w:r>
      <w:r w:rsidRPr="00A105B3">
        <w:t>2003</w:t>
      </w:r>
      <w:r>
        <w:t>):</w:t>
      </w:r>
      <w:r w:rsidRPr="00A105B3">
        <w:t xml:space="preserve"> Rethinking the let alone construction: what </w:t>
      </w:r>
      <w:proofErr w:type="gramStart"/>
      <w:r w:rsidRPr="00A105B3">
        <w:t>are</w:t>
      </w:r>
      <w:proofErr w:type="gramEnd"/>
      <w:r w:rsidRPr="00A105B3">
        <w:t xml:space="preserve"> its construction specific characteristics? </w:t>
      </w:r>
      <w:r w:rsidR="00B76A3D">
        <w:t xml:space="preserve">In: </w:t>
      </w:r>
      <w:r w:rsidRPr="00A105B3">
        <w:t>Journal of the Pan-Pacific Association of Applied Linguistics 7: 135-151.</w:t>
      </w:r>
    </w:p>
    <w:p w14:paraId="08D07539" w14:textId="77777777" w:rsidR="00AB181E" w:rsidRDefault="00224AA6">
      <w:pPr>
        <w:pStyle w:val="Ttulo1"/>
      </w:pPr>
      <w:r>
        <w:t>Contact information</w:t>
      </w:r>
    </w:p>
    <w:p w14:paraId="402DB418" w14:textId="77777777" w:rsidR="00AB181E" w:rsidRPr="00E05096" w:rsidRDefault="00B76A3D">
      <w:pPr>
        <w:rPr>
          <w:lang w:val="en-US"/>
        </w:rPr>
      </w:pPr>
      <w:r w:rsidRPr="00E05096">
        <w:rPr>
          <w:rStyle w:val="Textoennegrita"/>
          <w:lang w:val="en-US"/>
        </w:rPr>
        <w:t>Pilar Ron Vaz</w:t>
      </w:r>
    </w:p>
    <w:p w14:paraId="3462D2E3" w14:textId="77777777" w:rsidR="00AB181E" w:rsidRPr="00B76A3D" w:rsidRDefault="00B76A3D">
      <w:pPr>
        <w:rPr>
          <w:lang w:val="en-US"/>
        </w:rPr>
      </w:pPr>
      <w:r w:rsidRPr="00B76A3D">
        <w:rPr>
          <w:lang w:val="en-US"/>
        </w:rPr>
        <w:t xml:space="preserve">University </w:t>
      </w:r>
      <w:r>
        <w:rPr>
          <w:lang w:val="en-US"/>
        </w:rPr>
        <w:t>of Huelva</w:t>
      </w:r>
    </w:p>
    <w:p w14:paraId="4E4123F5" w14:textId="77777777" w:rsidR="00AB181E" w:rsidRPr="00B76A3D" w:rsidRDefault="00000000">
      <w:pPr>
        <w:rPr>
          <w:lang w:val="en-US"/>
        </w:rPr>
      </w:pPr>
      <w:hyperlink r:id="rId10">
        <w:r w:rsidR="00B76A3D">
          <w:rPr>
            <w:rStyle w:val="Hipervnculo"/>
            <w:lang w:val="en-US"/>
          </w:rPr>
          <w:t>ronvaz@dfing.uhu.es</w:t>
        </w:r>
      </w:hyperlink>
    </w:p>
    <w:p w14:paraId="340D5182" w14:textId="77777777" w:rsidR="00AB181E" w:rsidRPr="00B76A3D" w:rsidRDefault="00AB181E">
      <w:pPr>
        <w:pStyle w:val="Literaturverzeichnis1"/>
        <w:ind w:left="0" w:firstLine="0"/>
        <w:rPr>
          <w:lang w:val="en-US"/>
        </w:rPr>
      </w:pPr>
    </w:p>
    <w:p w14:paraId="7DFCCA74" w14:textId="77777777" w:rsidR="00AB181E" w:rsidRPr="00B76A3D" w:rsidRDefault="00AB181E">
      <w:pPr>
        <w:pStyle w:val="Literaturverzeichnis1"/>
        <w:ind w:left="0" w:firstLine="0"/>
        <w:rPr>
          <w:lang w:val="en-US"/>
        </w:rPr>
      </w:pPr>
    </w:p>
    <w:sectPr w:rsidR="00AB181E" w:rsidRPr="00B76A3D">
      <w:footerReference w:type="default" r:id="rId11"/>
      <w:pgSz w:w="11906" w:h="16838"/>
      <w:pgMar w:top="1814" w:right="1871" w:bottom="2155" w:left="1871" w:header="1134" w:footer="1134"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100482" w14:textId="77777777" w:rsidR="007F4AEB" w:rsidRDefault="007F4AEB">
      <w:pPr>
        <w:spacing w:before="0" w:line="240" w:lineRule="auto"/>
      </w:pPr>
      <w:r>
        <w:separator/>
      </w:r>
    </w:p>
  </w:endnote>
  <w:endnote w:type="continuationSeparator" w:id="0">
    <w:p w14:paraId="1824C32F" w14:textId="77777777" w:rsidR="007F4AEB" w:rsidRDefault="007F4AEB">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37D1C52-D2A4-42B7-933A-A5C6C196CFBE}"/>
    <w:embedBold r:id="rId2" w:fontKey="{9C34484F-57C6-4522-B7B3-C0F9535544EF}"/>
  </w:font>
  <w:font w:name="Tahoma">
    <w:panose1 w:val="020B0604030504040204"/>
    <w:charset w:val="00"/>
    <w:family w:val="swiss"/>
    <w:pitch w:val="variable"/>
    <w:sig w:usb0="E1002EFF" w:usb1="C000605B" w:usb2="00000029" w:usb3="00000000" w:csb0="000101FF" w:csb1="00000000"/>
    <w:embedRegular r:id="rId3" w:fontKey="{FF8705A2-A5EC-4414-9922-65CCED339962}"/>
    <w:embedBold r:id="rId4" w:fontKey="{E92F6160-A14F-45FA-883F-5A0B216F09F7}"/>
    <w:embedItalic r:id="rId5" w:fontKey="{52728609-E16A-4E29-9DA8-06DB8E0AC86D}"/>
  </w:font>
  <w:font w:name="Libertinus Serif">
    <w:altName w:val="Calibri"/>
    <w:panose1 w:val="00000000000000000000"/>
    <w:charset w:val="00"/>
    <w:family w:val="modern"/>
    <w:notTrueType/>
    <w:pitch w:val="variable"/>
    <w:sig w:usb0="E0000AFF" w:usb1="0200E5FB" w:usb2="01000020" w:usb3="00000000" w:csb0="000001BF" w:csb1="00000000"/>
  </w:font>
  <w:font w:name="Fira Sans">
    <w:altName w:val="Calibri"/>
    <w:panose1 w:val="00000000000000000000"/>
    <w:charset w:val="00"/>
    <w:family w:val="swiss"/>
    <w:notTrueType/>
    <w:pitch w:val="variable"/>
    <w:sig w:usb0="600002FF" w:usb1="00000001" w:usb2="00000000" w:usb3="00000000" w:csb0="0000019F" w:csb1="00000000"/>
    <w:embedRegular r:id="rId6" w:fontKey="{14F5663B-CB76-4593-B95D-0EC4A456AB26}"/>
    <w:embedBold r:id="rId7" w:fontKey="{C1B1FE42-4E90-4AEE-91A2-553032B43B64}"/>
  </w:font>
  <w:font w:name="OpenSymbol">
    <w:altName w:val="Arial Unicode MS"/>
    <w:charset w:val="00"/>
    <w:family w:val="auto"/>
    <w:pitch w:val="variable"/>
    <w:sig w:usb0="800000AF" w:usb1="1001ECEA" w:usb2="00000000" w:usb3="00000000" w:csb0="80000001" w:csb1="00000000"/>
    <w:embedRegular r:id="rId8" w:fontKey="{C151D089-D83C-4731-9EC2-47E09EB213CA}"/>
  </w:font>
  <w:font w:name="Liberation Sans">
    <w:altName w:val="Arial"/>
    <w:charset w:val="00"/>
    <w:family w:val="swiss"/>
    <w:pitch w:val="variable"/>
    <w:sig w:usb0="E0000AFF" w:usb1="500078FF" w:usb2="00000021" w:usb3="00000000" w:csb0="000001BF" w:csb1="00000000"/>
    <w:embedBold r:id="rId9" w:fontKey="{CF2816BA-5FC8-464C-8E5F-9070CE8A2C77}"/>
  </w:font>
  <w:font w:name="Noto Sans CJK SC">
    <w:panose1 w:val="00000000000000000000"/>
    <w:charset w:val="00"/>
    <w:family w:val="roman"/>
    <w:notTrueType/>
    <w:pitch w:val="default"/>
  </w:font>
  <w:font w:name="Droid Sans Devanagari">
    <w:altName w:val="Times New Roman"/>
    <w:charset w:val="00"/>
    <w:family w:val="swiss"/>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10" w:fontKey="{4302C5D2-C939-4A62-ACBD-CDACBB217F61}"/>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2A357" w14:textId="77777777" w:rsidR="00AB181E" w:rsidRDefault="00224AA6" w:rsidP="00694682">
    <w:pPr>
      <w:pStyle w:val="Piedepgina"/>
      <w:jc w:val="right"/>
    </w:pPr>
    <w:r>
      <w:rPr>
        <w:rStyle w:val="Nmerodepgina"/>
        <w:rFonts w:cs="Libertinus Serif"/>
      </w:rPr>
      <w:fldChar w:fldCharType="begin"/>
    </w:r>
    <w:r>
      <w:rPr>
        <w:rStyle w:val="Nmerodepgina"/>
        <w:rFonts w:cs="Libertinus Serif"/>
      </w:rPr>
      <w:instrText xml:space="preserve"> PAGE </w:instrText>
    </w:r>
    <w:r>
      <w:rPr>
        <w:rStyle w:val="Nmerodepgina"/>
        <w:rFonts w:cs="Libertinus Serif"/>
      </w:rPr>
      <w:fldChar w:fldCharType="separate"/>
    </w:r>
    <w:r w:rsidR="004C5262">
      <w:rPr>
        <w:rStyle w:val="Nmerodepgina"/>
        <w:rFonts w:cs="Libertinus Serif"/>
        <w:noProof/>
      </w:rPr>
      <w:t>3</w:t>
    </w:r>
    <w:r>
      <w:rPr>
        <w:rStyle w:val="Nmerodepgina"/>
        <w:rFonts w:cs="Libertinus Serif"/>
      </w:rPr>
      <w:fldChar w:fldCharType="end"/>
    </w:r>
  </w:p>
  <w:p w14:paraId="7110FBCC" w14:textId="77777777" w:rsidR="00AB181E" w:rsidRDefault="00AB181E">
    <w:pPr>
      <w:pStyle w:val="Piedepgina"/>
    </w:pPr>
  </w:p>
  <w:p w14:paraId="3398ADFB" w14:textId="77777777" w:rsidR="00AB181E" w:rsidRDefault="00AB18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6BFC49" w14:textId="77777777" w:rsidR="007F4AEB" w:rsidRDefault="007F4AEB">
      <w:pPr>
        <w:rPr>
          <w:sz w:val="12"/>
        </w:rPr>
      </w:pPr>
      <w:r>
        <w:separator/>
      </w:r>
    </w:p>
  </w:footnote>
  <w:footnote w:type="continuationSeparator" w:id="0">
    <w:p w14:paraId="2483D73C" w14:textId="77777777" w:rsidR="007F4AEB" w:rsidRDefault="007F4AEB">
      <w:pPr>
        <w:rPr>
          <w:sz w:val="12"/>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05702"/>
    <w:multiLevelType w:val="hybridMultilevel"/>
    <w:tmpl w:val="5740B2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433A14"/>
    <w:multiLevelType w:val="multilevel"/>
    <w:tmpl w:val="B198A204"/>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2" w15:restartNumberingAfterBreak="0">
    <w:nsid w:val="08CE7DAE"/>
    <w:multiLevelType w:val="multilevel"/>
    <w:tmpl w:val="8B06C76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3" w15:restartNumberingAfterBreak="0">
    <w:nsid w:val="18A63EBD"/>
    <w:multiLevelType w:val="hybridMultilevel"/>
    <w:tmpl w:val="2F3EAC50"/>
    <w:lvl w:ilvl="0" w:tplc="A8A66C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C33E57"/>
    <w:multiLevelType w:val="multilevel"/>
    <w:tmpl w:val="E422A204"/>
    <w:lvl w:ilvl="0">
      <w:start w:val="1"/>
      <w:numFmt w:val="decimal"/>
      <w:pStyle w:val="Example"/>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num w:numId="1" w16cid:durableId="277027445">
    <w:abstractNumId w:val="1"/>
  </w:num>
  <w:num w:numId="2" w16cid:durableId="1238829840">
    <w:abstractNumId w:val="2"/>
  </w:num>
  <w:num w:numId="3" w16cid:durableId="764544053">
    <w:abstractNumId w:val="4"/>
  </w:num>
  <w:num w:numId="4" w16cid:durableId="472213364">
    <w:abstractNumId w:val="3"/>
  </w:num>
  <w:num w:numId="5" w16cid:durableId="321666565">
    <w:abstractNumId w:val="0"/>
  </w:num>
  <w:num w:numId="6" w16cid:durableId="874195489">
    <w:abstractNumId w:val="4"/>
  </w:num>
  <w:num w:numId="7" w16cid:durableId="1844859374">
    <w:abstractNumId w:val="4"/>
  </w:num>
  <w:num w:numId="8" w16cid:durableId="8595156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81E"/>
    <w:rsid w:val="00025C9C"/>
    <w:rsid w:val="000F11EC"/>
    <w:rsid w:val="00224AA6"/>
    <w:rsid w:val="00227F60"/>
    <w:rsid w:val="004C5262"/>
    <w:rsid w:val="005F6781"/>
    <w:rsid w:val="00694682"/>
    <w:rsid w:val="00717483"/>
    <w:rsid w:val="007F4AEB"/>
    <w:rsid w:val="009D4AD9"/>
    <w:rsid w:val="00A105B3"/>
    <w:rsid w:val="00A54BA3"/>
    <w:rsid w:val="00AB181E"/>
    <w:rsid w:val="00B22F8E"/>
    <w:rsid w:val="00B76A3D"/>
    <w:rsid w:val="00C425D1"/>
    <w:rsid w:val="00DB029F"/>
    <w:rsid w:val="00DB1137"/>
    <w:rsid w:val="00DF06AF"/>
    <w:rsid w:val="00E05096"/>
    <w:rsid w:val="00EE5A4E"/>
    <w:rsid w:val="00F47A0D"/>
    <w:rsid w:val="00FF30E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049403"/>
  <w15:docId w15:val="{A5C6F58D-BA9C-4292-B2A5-AAC74F65C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ahoma"/>
        <w:sz w:val="22"/>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val="0"/>
      <w:spacing w:before="113" w:line="280" w:lineRule="exact"/>
      <w:jc w:val="both"/>
    </w:pPr>
    <w:rPr>
      <w:rFonts w:ascii="Libertinus Serif" w:hAnsi="Libertinus Serif"/>
    </w:rPr>
  </w:style>
  <w:style w:type="paragraph" w:styleId="Ttulo1">
    <w:name w:val="heading 1"/>
    <w:basedOn w:val="Normal"/>
    <w:next w:val="Normal"/>
    <w:link w:val="Ttulo1Car"/>
    <w:qFormat/>
    <w:pPr>
      <w:keepNext/>
      <w:keepLines/>
      <w:spacing w:before="340" w:after="113" w:line="360" w:lineRule="exact"/>
      <w:outlineLvl w:val="0"/>
    </w:pPr>
    <w:rPr>
      <w:rFonts w:ascii="Fira Sans" w:hAnsi="Fira Sans"/>
      <w:b/>
      <w:color w:val="4FAF4A"/>
      <w:sz w:val="28"/>
      <w:szCs w:val="32"/>
    </w:rPr>
  </w:style>
  <w:style w:type="paragraph" w:styleId="Ttulo2">
    <w:name w:val="heading 2"/>
    <w:basedOn w:val="Normal"/>
    <w:next w:val="Normal"/>
    <w:link w:val="Ttulo2Car"/>
    <w:qFormat/>
    <w:pPr>
      <w:keepNext/>
      <w:keepLines/>
      <w:spacing w:before="340" w:after="113" w:line="340" w:lineRule="exact"/>
      <w:outlineLvl w:val="1"/>
    </w:pPr>
    <w:rPr>
      <w:rFonts w:ascii="Fira Sans" w:hAnsi="Fira Sans"/>
      <w:b/>
      <w:color w:val="4FAF4A"/>
      <w:sz w:val="26"/>
      <w:szCs w:val="26"/>
    </w:rPr>
  </w:style>
  <w:style w:type="paragraph" w:styleId="Ttulo3">
    <w:name w:val="heading 3"/>
    <w:basedOn w:val="Normal"/>
    <w:next w:val="Normal"/>
    <w:link w:val="Ttulo3Car"/>
    <w:qFormat/>
    <w:pPr>
      <w:keepNext/>
      <w:keepLines/>
      <w:spacing w:before="227" w:after="113" w:line="320" w:lineRule="exact"/>
      <w:outlineLvl w:val="2"/>
    </w:pPr>
    <w:rPr>
      <w:rFonts w:ascii="Fira Sans" w:hAnsi="Fira Sans"/>
      <w:color w:val="4FAF4A"/>
      <w:sz w:val="24"/>
      <w:szCs w:val="24"/>
    </w:rPr>
  </w:style>
  <w:style w:type="paragraph" w:styleId="Ttulo4">
    <w:name w:val="heading 4"/>
    <w:basedOn w:val="Normal"/>
    <w:next w:val="Normal"/>
    <w:link w:val="Ttulo4Car"/>
    <w:qFormat/>
    <w:pPr>
      <w:keepNext/>
      <w:keepLines/>
      <w:spacing w:before="227"/>
      <w:outlineLvl w:val="3"/>
    </w:pPr>
    <w:rPr>
      <w:rFonts w:ascii="Fira Sans" w:hAnsi="Fira Sans"/>
      <w:iCs/>
      <w:color w:val="4FAF4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qFormat/>
    <w:rPr>
      <w:rFonts w:ascii="Fira Sans" w:eastAsia="Calibri" w:hAnsi="Fira Sans" w:cs="Tahoma"/>
      <w:b/>
      <w:color w:val="F79646"/>
      <w:sz w:val="28"/>
      <w:szCs w:val="32"/>
    </w:rPr>
  </w:style>
  <w:style w:type="character" w:customStyle="1" w:styleId="Ttulo2Car">
    <w:name w:val="Título 2 Car"/>
    <w:basedOn w:val="Fuentedeprrafopredeter"/>
    <w:link w:val="Ttulo2"/>
    <w:qFormat/>
    <w:rPr>
      <w:rFonts w:ascii="Fira Sans" w:eastAsia="Calibri" w:hAnsi="Fira Sans" w:cs="Tahoma"/>
      <w:b/>
      <w:color w:val="F79646"/>
      <w:sz w:val="26"/>
      <w:szCs w:val="26"/>
    </w:rPr>
  </w:style>
  <w:style w:type="character" w:customStyle="1" w:styleId="Ttulo3Car">
    <w:name w:val="Título 3 Car"/>
    <w:basedOn w:val="Fuentedeprrafopredeter"/>
    <w:link w:val="Ttulo3"/>
    <w:qFormat/>
    <w:rPr>
      <w:rFonts w:ascii="Fira Sans" w:eastAsia="Calibri" w:hAnsi="Fira Sans" w:cs="Tahoma"/>
      <w:color w:val="F79646"/>
      <w:sz w:val="24"/>
      <w:szCs w:val="24"/>
    </w:rPr>
  </w:style>
  <w:style w:type="character" w:customStyle="1" w:styleId="Ttulo4Car">
    <w:name w:val="Título 4 Car"/>
    <w:basedOn w:val="Fuentedeprrafopredeter"/>
    <w:link w:val="Ttulo4"/>
    <w:qFormat/>
    <w:rPr>
      <w:rFonts w:ascii="Fira Sans" w:eastAsia="Calibri" w:hAnsi="Fira Sans" w:cs="Tahoma"/>
      <w:iCs/>
      <w:color w:val="F79646"/>
    </w:rPr>
  </w:style>
  <w:style w:type="character" w:customStyle="1" w:styleId="TtuloCar">
    <w:name w:val="Título Car"/>
    <w:basedOn w:val="Fuentedeprrafopredeter"/>
    <w:link w:val="Ttulo"/>
    <w:qFormat/>
    <w:rsid w:val="00227F60"/>
    <w:rPr>
      <w:rFonts w:ascii="Fira Sans" w:hAnsi="Fira Sans"/>
      <w:b/>
      <w:color w:val="4FAF4A"/>
      <w:sz w:val="38"/>
      <w:szCs w:val="56"/>
    </w:rPr>
  </w:style>
  <w:style w:type="character" w:styleId="Textoennegrita">
    <w:name w:val="Strong"/>
    <w:basedOn w:val="Fuentedeprrafopredeter"/>
    <w:qFormat/>
    <w:rPr>
      <w:b/>
      <w:bCs/>
    </w:rPr>
  </w:style>
  <w:style w:type="character" w:styleId="nfasis">
    <w:name w:val="Emphasis"/>
    <w:basedOn w:val="Fuentedeprrafopredeter"/>
    <w:qFormat/>
    <w:rPr>
      <w:i/>
      <w:iCs/>
    </w:rPr>
  </w:style>
  <w:style w:type="character" w:styleId="nfasisintenso">
    <w:name w:val="Intense Emphasis"/>
    <w:basedOn w:val="Fuentedeprrafopredeter"/>
    <w:qFormat/>
    <w:rPr>
      <w:rFonts w:ascii="Libertinus Serif" w:hAnsi="Libertinus Serif"/>
      <w:b/>
      <w:bCs/>
      <w:i/>
      <w:iCs/>
      <w:color w:val="auto"/>
    </w:rPr>
  </w:style>
  <w:style w:type="character" w:customStyle="1" w:styleId="CitaCar">
    <w:name w:val="Cita Car"/>
    <w:basedOn w:val="Fuentedeprrafopredeter"/>
    <w:link w:val="Cita"/>
    <w:qFormat/>
    <w:rPr>
      <w:rFonts w:ascii="Libertinus Serif" w:hAnsi="Libertinus Serif"/>
      <w:iCs/>
      <w:sz w:val="20"/>
    </w:rPr>
  </w:style>
  <w:style w:type="character" w:customStyle="1" w:styleId="SubttuloCar">
    <w:name w:val="Subtítulo Car"/>
    <w:basedOn w:val="Fuentedeprrafopredeter"/>
    <w:link w:val="Subttulo"/>
    <w:qFormat/>
    <w:rsid w:val="004C5262"/>
    <w:rPr>
      <w:rFonts w:ascii="Fira Sans" w:hAnsi="Fira Sans"/>
      <w:b/>
      <w:color w:val="5A5A5A"/>
      <w:spacing w:val="16"/>
      <w:sz w:val="28"/>
    </w:rPr>
  </w:style>
  <w:style w:type="character" w:customStyle="1" w:styleId="EncabezadoCar">
    <w:name w:val="Encabezado Car"/>
    <w:basedOn w:val="Fuentedeprrafopredeter"/>
    <w:link w:val="Encabezado"/>
    <w:qFormat/>
    <w:rPr>
      <w:rFonts w:ascii="Times New Roman" w:hAnsi="Times New Roman"/>
      <w:sz w:val="24"/>
    </w:rPr>
  </w:style>
  <w:style w:type="character" w:customStyle="1" w:styleId="PiedepginaCar">
    <w:name w:val="Pie de página Car"/>
    <w:basedOn w:val="Fuentedeprrafopredeter"/>
    <w:link w:val="Piedepgina"/>
    <w:qFormat/>
    <w:rPr>
      <w:rFonts w:ascii="Times New Roman" w:hAnsi="Times New Roman"/>
      <w:sz w:val="24"/>
    </w:rPr>
  </w:style>
  <w:style w:type="character" w:customStyle="1" w:styleId="Funotenzeichen-Text">
    <w:name w:val="Fußnotenzeichen-Text"/>
    <w:qFormat/>
    <w:rPr>
      <w:vertAlign w:val="superscript"/>
    </w:rPr>
  </w:style>
  <w:style w:type="character" w:styleId="Hipervnculo">
    <w:name w:val="Hyperlink"/>
    <w:basedOn w:val="Fuentedeprrafopredeter"/>
    <w:rPr>
      <w:color w:val="000080"/>
      <w:w w:val="100"/>
      <w:u w:val="thick" w:color="000080"/>
    </w:rPr>
  </w:style>
  <w:style w:type="character" w:styleId="Nmerodepgina">
    <w:name w:val="page number"/>
    <w:basedOn w:val="Fuentedeprrafopredeter"/>
    <w:qFormat/>
  </w:style>
  <w:style w:type="character" w:customStyle="1" w:styleId="TextonotapieCar">
    <w:name w:val="Texto nota pie Car"/>
    <w:basedOn w:val="Fuentedeprrafopredeter"/>
    <w:link w:val="Textonotapie"/>
    <w:qFormat/>
    <w:rPr>
      <w:rFonts w:ascii="Times New Roman" w:hAnsi="Times New Roman"/>
      <w:sz w:val="20"/>
      <w:szCs w:val="20"/>
    </w:rPr>
  </w:style>
  <w:style w:type="character" w:customStyle="1" w:styleId="CitadestacadaCar">
    <w:name w:val="Cita destacada Car"/>
    <w:basedOn w:val="Fuentedeprrafopredeter"/>
    <w:link w:val="Citadestacada"/>
    <w:qFormat/>
    <w:rPr>
      <w:rFonts w:ascii="Libertinus Serif" w:hAnsi="Libertinus Serif"/>
      <w:bCs/>
      <w:sz w:val="20"/>
    </w:rPr>
  </w:style>
  <w:style w:type="character" w:customStyle="1" w:styleId="KapitlchenSmallCapital">
    <w:name w:val="Kapitälchen/Small Capital"/>
    <w:basedOn w:val="Fuentedeprrafopredeter"/>
    <w:qFormat/>
    <w:rPr>
      <w:smallCaps/>
    </w:rPr>
  </w:style>
  <w:style w:type="character" w:customStyle="1" w:styleId="Aufzhlungszeichen1">
    <w:name w:val="Aufzählungszeichen1"/>
    <w:qFormat/>
    <w:rPr>
      <w:rFonts w:ascii="OpenSymbol" w:eastAsia="OpenSymbol" w:hAnsi="OpenSymbol" w:cs="OpenSymbol"/>
    </w:rPr>
  </w:style>
  <w:style w:type="character" w:styleId="Refdenotaalpie">
    <w:name w:val="footnote reference"/>
    <w:rPr>
      <w:vertAlign w:val="superscript"/>
    </w:rPr>
  </w:style>
  <w:style w:type="character" w:styleId="Refdenotaalfinal">
    <w:name w:val="endnote reference"/>
    <w:rPr>
      <w:vertAlign w:val="superscript"/>
    </w:rPr>
  </w:style>
  <w:style w:type="character" w:customStyle="1" w:styleId="TextodegloboCar">
    <w:name w:val="Texto de globo Car"/>
    <w:basedOn w:val="Fuentedeprrafopredeter"/>
    <w:link w:val="Textodeglobo"/>
    <w:qFormat/>
    <w:rPr>
      <w:rFonts w:ascii="Tahoma" w:hAnsi="Tahoma" w:cs="Tahoma"/>
      <w:sz w:val="16"/>
      <w:szCs w:val="16"/>
    </w:rPr>
  </w:style>
  <w:style w:type="paragraph" w:customStyle="1" w:styleId="berschrift">
    <w:name w:val="Überschrift"/>
    <w:basedOn w:val="Ttulo1"/>
    <w:next w:val="Textoindependiente"/>
    <w:qFormat/>
    <w:pPr>
      <w:spacing w:before="240" w:after="120"/>
    </w:pPr>
    <w:rPr>
      <w:rFonts w:ascii="Liberation Sans" w:eastAsia="Noto Sans CJK SC" w:hAnsi="Liberation Sans" w:cs="Droid Sans Devanagari"/>
      <w:szCs w:val="28"/>
    </w:rPr>
  </w:style>
  <w:style w:type="paragraph" w:styleId="Textoindependiente">
    <w:name w:val="Body Text"/>
    <w:basedOn w:val="Normal"/>
    <w:pPr>
      <w:spacing w:before="0" w:after="140" w:line="276" w:lineRule="auto"/>
    </w:pPr>
  </w:style>
  <w:style w:type="paragraph" w:styleId="Lista">
    <w:name w:val="List"/>
    <w:basedOn w:val="Textoindependiente"/>
    <w:rPr>
      <w:rFonts w:cs="Droid Sans Devanagari"/>
    </w:rPr>
  </w:style>
  <w:style w:type="paragraph" w:styleId="Descripcin">
    <w:name w:val="caption"/>
    <w:basedOn w:val="Normal"/>
    <w:qFormat/>
    <w:pPr>
      <w:suppressLineNumbers/>
      <w:spacing w:after="227" w:line="232" w:lineRule="exact"/>
    </w:pPr>
    <w:rPr>
      <w:rFonts w:cs="Droid Sans Devanagari"/>
      <w:iCs/>
      <w:sz w:val="19"/>
      <w:szCs w:val="24"/>
    </w:rPr>
  </w:style>
  <w:style w:type="paragraph" w:customStyle="1" w:styleId="Verzeichnis">
    <w:name w:val="Verzeichnis"/>
    <w:basedOn w:val="Normal"/>
    <w:qFormat/>
    <w:pPr>
      <w:suppressLineNumbers/>
    </w:pPr>
    <w:rPr>
      <w:rFonts w:cs="Droid Sans Devanagari"/>
    </w:rPr>
  </w:style>
  <w:style w:type="paragraph" w:styleId="Ttulo">
    <w:name w:val="Title"/>
    <w:basedOn w:val="Normal"/>
    <w:next w:val="Normal"/>
    <w:link w:val="TtuloCar"/>
    <w:qFormat/>
    <w:rsid w:val="00227F60"/>
    <w:pPr>
      <w:suppressAutoHyphens/>
      <w:spacing w:before="170" w:after="340" w:line="440" w:lineRule="exact"/>
      <w:contextualSpacing/>
      <w:jc w:val="center"/>
    </w:pPr>
    <w:rPr>
      <w:rFonts w:ascii="Fira Sans" w:hAnsi="Fira Sans"/>
      <w:b/>
      <w:color w:val="4FAF4A"/>
      <w:sz w:val="38"/>
      <w:szCs w:val="56"/>
    </w:rPr>
  </w:style>
  <w:style w:type="paragraph" w:styleId="Cita">
    <w:name w:val="Quote"/>
    <w:basedOn w:val="Normal"/>
    <w:next w:val="Normal"/>
    <w:link w:val="CitaCar"/>
    <w:qFormat/>
    <w:pPr>
      <w:spacing w:line="250" w:lineRule="exact"/>
      <w:ind w:left="794" w:right="794"/>
    </w:pPr>
    <w:rPr>
      <w:iCs/>
      <w:sz w:val="20"/>
    </w:rPr>
  </w:style>
  <w:style w:type="paragraph" w:styleId="Subttulo">
    <w:name w:val="Subtitle"/>
    <w:basedOn w:val="Normal"/>
    <w:next w:val="Normal"/>
    <w:link w:val="SubttuloCar"/>
    <w:qFormat/>
    <w:rsid w:val="004C5262"/>
    <w:pPr>
      <w:suppressAutoHyphens/>
      <w:spacing w:before="0" w:after="340" w:line="320" w:lineRule="exact"/>
      <w:contextualSpacing/>
      <w:jc w:val="center"/>
    </w:pPr>
    <w:rPr>
      <w:rFonts w:ascii="Fira Sans" w:hAnsi="Fira Sans"/>
      <w:b/>
      <w:color w:val="5A5A5A"/>
      <w:spacing w:val="16"/>
      <w:sz w:val="28"/>
    </w:rPr>
  </w:style>
  <w:style w:type="paragraph" w:customStyle="1" w:styleId="Author">
    <w:name w:val="Author"/>
    <w:basedOn w:val="Ttulo"/>
    <w:qFormat/>
    <w:pPr>
      <w:spacing w:before="0" w:line="340" w:lineRule="exact"/>
    </w:pPr>
    <w:rPr>
      <w:b w:val="0"/>
      <w:color w:val="auto"/>
      <w:sz w:val="26"/>
    </w:rPr>
  </w:style>
  <w:style w:type="paragraph" w:styleId="Prrafodelista">
    <w:name w:val="List Paragraph"/>
    <w:basedOn w:val="Normal"/>
    <w:uiPriority w:val="34"/>
    <w:qFormat/>
    <w:pPr>
      <w:tabs>
        <w:tab w:val="left" w:pos="0"/>
      </w:tabs>
      <w:ind w:left="284" w:hanging="284"/>
      <w:contextualSpacing/>
    </w:pPr>
  </w:style>
  <w:style w:type="paragraph" w:customStyle="1" w:styleId="Example">
    <w:name w:val="Example"/>
    <w:basedOn w:val="Normal"/>
    <w:qFormat/>
    <w:rsid w:val="00A54BA3"/>
    <w:pPr>
      <w:numPr>
        <w:numId w:val="3"/>
      </w:numPr>
      <w:spacing w:before="57" w:after="57" w:line="240" w:lineRule="exact"/>
    </w:pPr>
    <w:rPr>
      <w:sz w:val="20"/>
    </w:rPr>
  </w:style>
  <w:style w:type="paragraph" w:customStyle="1" w:styleId="Kopf-undFuzeile">
    <w:name w:val="Kopf- und Fußzeile"/>
    <w:basedOn w:val="Normal"/>
    <w:qFormat/>
  </w:style>
  <w:style w:type="paragraph" w:styleId="Encabezado">
    <w:name w:val="header"/>
    <w:basedOn w:val="Normal"/>
    <w:link w:val="EncabezadoCar"/>
    <w:pPr>
      <w:tabs>
        <w:tab w:val="center" w:pos="4536"/>
        <w:tab w:val="right" w:pos="9072"/>
      </w:tabs>
      <w:spacing w:before="0" w:line="240" w:lineRule="auto"/>
    </w:pPr>
  </w:style>
  <w:style w:type="paragraph" w:styleId="Piedepgina">
    <w:name w:val="footer"/>
    <w:basedOn w:val="Normal"/>
    <w:link w:val="PiedepginaCar"/>
    <w:pPr>
      <w:tabs>
        <w:tab w:val="center" w:pos="4536"/>
        <w:tab w:val="right" w:pos="9072"/>
      </w:tabs>
      <w:spacing w:before="0" w:line="240" w:lineRule="auto"/>
    </w:pPr>
  </w:style>
  <w:style w:type="paragraph" w:customStyle="1" w:styleId="FunoteFootnote">
    <w:name w:val="Fußnote/Footnote"/>
    <w:basedOn w:val="Textonotapie"/>
    <w:qFormat/>
    <w:pPr>
      <w:tabs>
        <w:tab w:val="left" w:pos="283"/>
      </w:tabs>
      <w:spacing w:line="230" w:lineRule="atLeast"/>
      <w:ind w:left="284" w:hanging="284"/>
      <w:textAlignment w:val="center"/>
    </w:pPr>
    <w:rPr>
      <w:rFonts w:cs="Times New Roman"/>
    </w:rPr>
  </w:style>
  <w:style w:type="paragraph" w:styleId="Textonotapie">
    <w:name w:val="footnote text"/>
    <w:basedOn w:val="Normal"/>
    <w:link w:val="TextonotapieCar"/>
    <w:pPr>
      <w:spacing w:before="0" w:line="232" w:lineRule="exact"/>
      <w:ind w:left="283" w:hanging="283"/>
    </w:pPr>
    <w:rPr>
      <w:sz w:val="19"/>
      <w:szCs w:val="20"/>
    </w:rPr>
  </w:style>
  <w:style w:type="paragraph" w:customStyle="1" w:styleId="Keywords">
    <w:name w:val="Keywords"/>
    <w:basedOn w:val="Normal"/>
    <w:qFormat/>
    <w:rPr>
      <w:sz w:val="20"/>
    </w:rPr>
  </w:style>
  <w:style w:type="paragraph" w:styleId="Citadestacada">
    <w:name w:val="Intense Quote"/>
    <w:basedOn w:val="Cita"/>
    <w:next w:val="Normal"/>
    <w:link w:val="CitadestacadaCar"/>
    <w:qFormat/>
    <w:rPr>
      <w:bCs/>
      <w:iCs w:val="0"/>
    </w:rPr>
  </w:style>
  <w:style w:type="paragraph" w:customStyle="1" w:styleId="ReferenceEntry">
    <w:name w:val="Reference Entry"/>
    <w:basedOn w:val="Normal"/>
    <w:qFormat/>
    <w:pPr>
      <w:spacing w:before="28" w:line="193" w:lineRule="atLeast"/>
      <w:ind w:left="283" w:hanging="283"/>
      <w:jc w:val="left"/>
      <w:textAlignment w:val="center"/>
    </w:pPr>
    <w:rPr>
      <w:rFonts w:cs="Libertinus Serif"/>
      <w:sz w:val="19"/>
      <w:szCs w:val="20"/>
    </w:rPr>
  </w:style>
  <w:style w:type="paragraph" w:customStyle="1" w:styleId="HngenderEinzug">
    <w:name w:val="Hängender Einzug"/>
    <w:basedOn w:val="Textoindependiente"/>
    <w:qFormat/>
    <w:pPr>
      <w:spacing w:after="0"/>
      <w:ind w:left="283" w:hanging="283"/>
    </w:pPr>
  </w:style>
  <w:style w:type="paragraph" w:customStyle="1" w:styleId="Tabelleninhalt">
    <w:name w:val="Tabelleninhalt"/>
    <w:basedOn w:val="Normal"/>
    <w:qFormat/>
    <w:pPr>
      <w:widowControl w:val="0"/>
      <w:suppressLineNumbers/>
      <w:spacing w:after="57" w:line="232" w:lineRule="exact"/>
    </w:pPr>
    <w:rPr>
      <w:sz w:val="19"/>
    </w:rPr>
  </w:style>
  <w:style w:type="paragraph" w:customStyle="1" w:styleId="Tabellenberschrift">
    <w:name w:val="Tabellenüberschrift"/>
    <w:basedOn w:val="Tabelleninhalt"/>
    <w:qFormat/>
    <w:pPr>
      <w:jc w:val="left"/>
    </w:pPr>
    <w:rPr>
      <w:b/>
      <w:bCs/>
    </w:rPr>
  </w:style>
  <w:style w:type="paragraph" w:customStyle="1" w:styleId="Literaturverzeichnis1">
    <w:name w:val="Literaturverzeichnis 1"/>
    <w:basedOn w:val="Verzeichnis"/>
    <w:qFormat/>
    <w:pPr>
      <w:spacing w:before="0" w:line="240" w:lineRule="atLeast"/>
      <w:ind w:left="720" w:hanging="720"/>
    </w:pPr>
    <w:rPr>
      <w:sz w:val="19"/>
    </w:rPr>
  </w:style>
  <w:style w:type="paragraph" w:styleId="Ttulodendice">
    <w:name w:val="index heading"/>
    <w:basedOn w:val="Ttulo1"/>
    <w:autoRedefine/>
  </w:style>
  <w:style w:type="paragraph" w:styleId="Textoconsangra">
    <w:name w:val="table of authorities"/>
    <w:basedOn w:val="Ttulo1"/>
    <w:autoRedefine/>
    <w:pPr>
      <w:suppressLineNumbers/>
    </w:pPr>
  </w:style>
  <w:style w:type="paragraph" w:styleId="Cierre">
    <w:name w:val="Closing"/>
    <w:basedOn w:val="berschrift"/>
    <w:next w:val="Textoindependiente"/>
    <w:qFormat/>
    <w:pPr>
      <w:jc w:val="center"/>
    </w:pPr>
    <w:rPr>
      <w:bCs/>
      <w:szCs w:val="32"/>
    </w:rPr>
  </w:style>
  <w:style w:type="paragraph" w:styleId="TtuloTDC">
    <w:name w:val="TOC Heading"/>
    <w:basedOn w:val="Ttulodendice"/>
  </w:style>
  <w:style w:type="paragraph" w:customStyle="1" w:styleId="Abbildungsindexberschriften">
    <w:name w:val="Abbildungsindex Überschriften"/>
    <w:basedOn w:val="Ttulodendice"/>
    <w:qFormat/>
  </w:style>
  <w:style w:type="paragraph" w:customStyle="1" w:styleId="OLtext">
    <w:name w:val="OL text"/>
    <w:basedOn w:val="Normal"/>
    <w:qFormat/>
    <w:pPr>
      <w:spacing w:before="0" w:line="240" w:lineRule="exact"/>
    </w:pPr>
    <w:rPr>
      <w:rFonts w:ascii="Times New Roman" w:eastAsia="Times New Roman" w:hAnsi="Times New Roman" w:cs="Times New Roman"/>
      <w:sz w:val="20"/>
      <w:szCs w:val="20"/>
      <w:lang w:val="en-US"/>
    </w:rPr>
  </w:style>
  <w:style w:type="paragraph" w:customStyle="1" w:styleId="OLtextindented">
    <w:name w:val="OL text indented"/>
    <w:basedOn w:val="OLtext"/>
    <w:qFormat/>
    <w:pPr>
      <w:ind w:firstLine="240"/>
    </w:pPr>
  </w:style>
  <w:style w:type="paragraph" w:customStyle="1" w:styleId="OLexamplesecondglossline">
    <w:name w:val="OL example second gloss line"/>
    <w:basedOn w:val="Normal"/>
    <w:qFormat/>
    <w:pPr>
      <w:keepNext/>
      <w:spacing w:before="0" w:line="240" w:lineRule="auto"/>
      <w:jc w:val="left"/>
    </w:pPr>
    <w:rPr>
      <w:rFonts w:ascii="Times New Roman" w:eastAsia="Times New Roman" w:hAnsi="Times New Roman" w:cs="Times New Roman"/>
      <w:sz w:val="16"/>
      <w:szCs w:val="16"/>
      <w:lang w:val="en-US"/>
    </w:rPr>
  </w:style>
  <w:style w:type="paragraph" w:customStyle="1" w:styleId="OL3ptseparator">
    <w:name w:val="OL 3pt separator"/>
    <w:basedOn w:val="Normal"/>
    <w:qFormat/>
    <w:pPr>
      <w:spacing w:before="0" w:line="240" w:lineRule="auto"/>
      <w:jc w:val="left"/>
    </w:pPr>
    <w:rPr>
      <w:rFonts w:ascii="Times New Roman" w:eastAsia="Times New Roman" w:hAnsi="Times New Roman" w:cs="Times New Roman"/>
      <w:sz w:val="6"/>
      <w:szCs w:val="6"/>
      <w:lang w:val="en-AU"/>
    </w:rPr>
  </w:style>
  <w:style w:type="paragraph" w:customStyle="1" w:styleId="OLfootnote">
    <w:name w:val="OL footnote"/>
    <w:basedOn w:val="OLtext"/>
    <w:qFormat/>
    <w:pPr>
      <w:spacing w:line="180" w:lineRule="exact"/>
      <w:ind w:left="240" w:hanging="240"/>
    </w:pPr>
    <w:rPr>
      <w:sz w:val="16"/>
    </w:rPr>
  </w:style>
  <w:style w:type="paragraph" w:customStyle="1" w:styleId="OLexamplesource">
    <w:name w:val="OL example source"/>
    <w:basedOn w:val="OLtext"/>
    <w:qFormat/>
    <w:pPr>
      <w:jc w:val="right"/>
    </w:pPr>
  </w:style>
  <w:style w:type="paragraph" w:styleId="Textodeglobo">
    <w:name w:val="Balloon Text"/>
    <w:basedOn w:val="Normal"/>
    <w:link w:val="TextodegloboCar"/>
    <w:qFormat/>
    <w:pPr>
      <w:spacing w:before="0" w:line="240" w:lineRule="auto"/>
    </w:pPr>
    <w:rPr>
      <w:rFonts w:ascii="Tahoma" w:hAnsi="Tahoma"/>
      <w:sz w:val="16"/>
      <w:szCs w:val="16"/>
    </w:rPr>
  </w:style>
  <w:style w:type="paragraph" w:customStyle="1" w:styleId="AEDEANAbstractHeading">
    <w:name w:val="AEDEAN_Abstract_Heading"/>
    <w:basedOn w:val="NormalWeb"/>
    <w:qFormat/>
    <w:rsid w:val="00A105B3"/>
    <w:pPr>
      <w:spacing w:before="0" w:line="242" w:lineRule="atLeast"/>
      <w:outlineLvl w:val="0"/>
    </w:pPr>
    <w:rPr>
      <w:rFonts w:eastAsia="Times New Roman"/>
      <w:b/>
      <w:lang w:val="en-AU" w:eastAsia="es-ES"/>
    </w:rPr>
  </w:style>
  <w:style w:type="paragraph" w:customStyle="1" w:styleId="AEDEANAbstractReferences">
    <w:name w:val="AEDEAN_Abstract_References"/>
    <w:basedOn w:val="Normal"/>
    <w:qFormat/>
    <w:rsid w:val="00A105B3"/>
    <w:pPr>
      <w:spacing w:before="0" w:line="240" w:lineRule="auto"/>
    </w:pPr>
    <w:rPr>
      <w:rFonts w:ascii="Times New Roman" w:eastAsia="Times New Roman" w:hAnsi="Times New Roman" w:cs="Times New Roman"/>
      <w:color w:val="000000"/>
      <w:sz w:val="24"/>
      <w:szCs w:val="24"/>
      <w:lang w:eastAsia="es-ES"/>
    </w:rPr>
  </w:style>
  <w:style w:type="character" w:customStyle="1" w:styleId="js-work-more-abstract-untruncated">
    <w:name w:val="js-work-more-abstract-untruncated"/>
    <w:basedOn w:val="Fuentedeprrafopredeter"/>
    <w:rsid w:val="00A105B3"/>
  </w:style>
  <w:style w:type="paragraph" w:styleId="NormalWeb">
    <w:name w:val="Normal (Web)"/>
    <w:basedOn w:val="Normal"/>
    <w:uiPriority w:val="99"/>
    <w:semiHidden/>
    <w:unhideWhenUsed/>
    <w:rsid w:val="00A105B3"/>
    <w:rPr>
      <w:rFonts w:ascii="Times New Roman" w:hAnsi="Times New Roman" w:cs="Times New Roman"/>
      <w:sz w:val="24"/>
      <w:szCs w:val="24"/>
    </w:rPr>
  </w:style>
  <w:style w:type="character" w:styleId="Mencinsinresolver">
    <w:name w:val="Unresolved Mention"/>
    <w:basedOn w:val="Fuentedeprrafopredeter"/>
    <w:uiPriority w:val="99"/>
    <w:semiHidden/>
    <w:unhideWhenUsed/>
    <w:rsid w:val="00A105B3"/>
    <w:rPr>
      <w:color w:val="605E5C"/>
      <w:shd w:val="clear" w:color="auto" w:fill="E1DFDD"/>
    </w:rPr>
  </w:style>
  <w:style w:type="character" w:styleId="Hipervnculovisitado">
    <w:name w:val="FollowedHyperlink"/>
    <w:basedOn w:val="Fuentedeprrafopredeter"/>
    <w:uiPriority w:val="99"/>
    <w:semiHidden/>
    <w:unhideWhenUsed/>
    <w:rsid w:val="00B76A3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corpusdelespanol.org/web-dial/"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english-corpora.org/coca/"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muster@ids-mannheim.de" TargetMode="External"/><Relationship Id="rId4" Type="http://schemas.openxmlformats.org/officeDocument/2006/relationships/webSettings" Target="webSettings.xml"/><Relationship Id="rId9" Type="http://schemas.openxmlformats.org/officeDocument/2006/relationships/hyperlink" Target="https://www.academia.edu/10481316/All_this_if_not_mor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2</Pages>
  <Words>675</Words>
  <Characters>3852</Characters>
  <Application>Microsoft Office Word</Application>
  <DocSecurity>0</DocSecurity>
  <Lines>32</Lines>
  <Paragraphs>9</Paragraphs>
  <ScaleCrop>false</ScaleCrop>
  <HeadingPairs>
    <vt:vector size="4" baseType="variant">
      <vt:variant>
        <vt:lpstr>Título</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4518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Kupietz</dc:creator>
  <dc:description/>
  <cp:lastModifiedBy>Pilar Ron Vaz</cp:lastModifiedBy>
  <cp:revision>6</cp:revision>
  <cp:lastPrinted>2023-05-14T09:58:00Z</cp:lastPrinted>
  <dcterms:created xsi:type="dcterms:W3CDTF">2023-05-14T09:30:00Z</dcterms:created>
  <dcterms:modified xsi:type="dcterms:W3CDTF">2023-05-14T09:59:00Z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0sVWis3f4vrG_1">
    <vt:lpwstr>ZOTERO_ITEM CSL_CITATION {"citationID":"cNfOT9B7","properties":{"formattedCitation":"(Haspelmath 1993, p. 207)","plainCitation":"(Haspelmath 1993, p. 207)","noteIndex":0},"citationItems":[{"id":63066,"uris":["http://zotero.org/users/7800386/items/H2JQ756D</vt:lpwstr>
  </property>
  <property fmtid="{D5CDD505-2E9C-101B-9397-08002B2CF9AE}" pid="3" name="ZOTERO_BREF_0sVWis3f4vrG_2">
    <vt:lpwstr>"],"itemData":{"id":63066,"type":"article-journal","container-title":"New York","journalAbbreviation":"New York","title":"A grammar of Lezgian.(Mouton Grammar Library, 9). Berlin","author":[{"family":"Haspelmath","given":"M"}],"issued":{"date-parts":[["19</vt:lpwstr>
  </property>
  <property fmtid="{D5CDD505-2E9C-101B-9397-08002B2CF9AE}" pid="4" name="ZOTERO_BREF_0sVWis3f4vrG_3">
    <vt:lpwstr>93"]]}},"locator":"207","label":"page"}],"schema":"https://github.com/citation-style-language/schema/raw/master/csl-citation.json"}</vt:lpwstr>
  </property>
  <property fmtid="{D5CDD505-2E9C-101B-9397-08002B2CF9AE}" pid="5" name="ZOTERO_BREF_ScWPDzRVRHh0_1">
    <vt:lpwstr>ZOTERO_ITEM CSL_CITATION {"citationID":"Oz3G59Pn","properties":{"formattedCitation":"(Teich 2003)","plainCitation":"(Teich 2003)","noteIndex":0},"citationItems":[{"id":63049,"uris":["http://zotero.org/users/7800386/items/L78RLSNM"],"itemData":{"id":63049,</vt:lpwstr>
  </property>
  <property fmtid="{D5CDD505-2E9C-101B-9397-08002B2CF9AE}" pid="6" name="ZOTERO_BREF_ScWPDzRVRHh0_2">
    <vt:lpwstr>"type":"book","event-place":"Berlin","publisher":"Mouton de Gruyter","publisher-place":"Berlin","title":"Cross-Linguistic Variation in System and Text: A Methodology for the Investigation of Translations and Comparable Texts","author":[{"family":"Teich","</vt:lpwstr>
  </property>
  <property fmtid="{D5CDD505-2E9C-101B-9397-08002B2CF9AE}" pid="7" name="ZOTERO_BREF_ScWPDzRVRHh0_3">
    <vt:lpwstr>given":"Elke"}],"issued":{"date-parts":[["2003"]]}}}],"schema":"https://github.com/citation-style-language/schema/raw/master/csl-citation.json"}</vt:lpwstr>
  </property>
  <property fmtid="{D5CDD505-2E9C-101B-9397-08002B2CF9AE}" pid="8" name="ZOTERO_BREF_V5TMI0czrpa0_1">
    <vt:lpwstr>ZOTERO_ITEM CSL_CITATION {"citationID":"BRvaGgo9","properties":{"formattedCitation":"(Bickel/Comrie/Haspelmath 2015)","plainCitation":"(Bickel/Comrie/Haspelmath 2015)","noteIndex":0},"citationItems":[{"id":63065,"uris":["http://zotero.org/users/7800386/it</vt:lpwstr>
  </property>
  <property fmtid="{D5CDD505-2E9C-101B-9397-08002B2CF9AE}" pid="9" name="ZOTERO_BREF_V5TMI0czrpa0_2">
    <vt:lpwstr>ems/XDMEJRBJ"],"itemData":{"id":63065,"type":"document","note":"Revised version of May 31, 2015","title":"The Leipzig glossing rules: Conventions for interlinear morpheme-by-morpheme glosses","URL":"https://www.eva.mpg.de/lingua/pdf/Glossing-Rules.pdf","a</vt:lpwstr>
  </property>
  <property fmtid="{D5CDD505-2E9C-101B-9397-08002B2CF9AE}" pid="10" name="ZOTERO_BREF_V5TMI0czrpa0_3">
    <vt:lpwstr>uthor":[{"family":"Bickel","given":"Balthasar"},{"family":"Comrie","given":"Bernard"},{"family":"Haspelmath","given":"Martin"}],"accessed":{"date-parts":[["2023",3,8]]},"issued":{"date-parts":[["2015"]]}}}],"schema":"https://github.com/citation-style-lang</vt:lpwstr>
  </property>
  <property fmtid="{D5CDD505-2E9C-101B-9397-08002B2CF9AE}" pid="11" name="ZOTERO_BREF_V5TMI0czrpa0_4">
    <vt:lpwstr>uage/schema/raw/master/csl-citation.json"}</vt:lpwstr>
  </property>
  <property fmtid="{D5CDD505-2E9C-101B-9397-08002B2CF9AE}" pid="12" name="ZOTERO_BREF_hAC7oUOtVeE8_1">
    <vt:lpwstr>ZOTERO_ITEM CSL_CITATION {"citationID":"BOYKEc9w","properties":{"formattedCitation":"(Cappelle/Mostrov/Tayalati 2021, p. 82)","plainCitation":"(Cappelle/Mostrov/Tayalati 2021, p. 82)","noteIndex":0},"citationItems":[{"id":63059,"uris":["http://zotero.org/</vt:lpwstr>
  </property>
  <property fmtid="{D5CDD505-2E9C-101B-9397-08002B2CF9AE}" pid="13" name="ZOTERO_BREF_hAC7oUOtVeE8_2">
    <vt:lpwstr>users/7800386/items/IJ9ABV2D"],"itemData":{"id":63059,"type":"article-journal","abstract":"Abstract This study focuses on French and English abstract nouns denoting properties that can be ascribed to humans, such as beauty, carefulness and anger. Previous</vt:lpwstr>
  </property>
  <property fmtid="{D5CDD505-2E9C-101B-9397-08002B2CF9AE}" pid="14" name="ZOTERO_BREF_hAC7oUOtVeE8_3">
    <vt:lpwstr> research showed that some but not all of these nouns are licensed in both locative existentials (e.g., There’s an intense anger in Isabella) and possessive existentials (e.g., Isabella has an intense anger). What remains unclear is how these and other pa</vt:lpwstr>
  </property>
  <property fmtid="{D5CDD505-2E9C-101B-9397-08002B2CF9AE}" pid="15" name="ZOTERO_BREF_hAC7oUOtVeE8_4">
    <vt:lpwstr>tterns correlate among themselves depending on how easily they host such nouns. We here use speaker ratings of these nouns in different constructional environments. A principal component analysis suggests that the main dimension underlying native speakers</vt:lpwstr>
  </property>
  <property fmtid="{D5CDD505-2E9C-101B-9397-08002B2CF9AE}" pid="16" name="ZOTERO_BREF_hAC7oUOtVeE8_5">
    <vt:lpwstr>’ ratings of these abstract nouns in six different patterns is temporal limitability. This gradable distinction, strongly correlated with the locative existential, holds for both the French and English data and outweighs any French-English contrastive dif</vt:lpwstr>
  </property>
  <property fmtid="{D5CDD505-2E9C-101B-9397-08002B2CF9AE}" pid="17" name="ZOTERO_BREF_hAC7oUOtVeE8_6">
    <vt:lpwstr>ferences in how acceptable human property nouns are considered to be in the patterns studied.","container-title":"Languages in Contrast","DOI":"10.1075/lic.19006.cap","ISSN":"1387-6759","issue":"1","journalAbbreviation":"Lang. Contrast","note":"publisher:</vt:lpwstr>
  </property>
  <property fmtid="{D5CDD505-2E9C-101B-9397-08002B2CF9AE}" pid="18" name="ZOTERO_BREF_hAC7oUOtVeE8_7">
    <vt:lpwstr> John Benjamins Publishing Company","page":"82-111","title":"Temperaments, tempers, and temporality","volume":"21","author":[{"family":"Cappelle","given":"Bert"},{"family":"Mostrov","given":"Vassil"},{"family":"Tayalati","given":"Fayssal"}],"issued":{"dat</vt:lpwstr>
  </property>
  <property fmtid="{D5CDD505-2E9C-101B-9397-08002B2CF9AE}" pid="19" name="ZOTERO_BREF_hAC7oUOtVeE8_8">
    <vt:lpwstr>e-parts":[["2021",1,26]]}},"locator":"82","label":"page"}],"schema":"https://github.com/citation-style-language/schema/raw/master/csl-citation.json"}</vt:lpwstr>
  </property>
  <property fmtid="{D5CDD505-2E9C-101B-9397-08002B2CF9AE}" pid="20" name="ZOTERO_BREF_nOh0h30CRAuA_1">
    <vt:lpwstr>ZOTERO_ITEM CSL_CITATION {"citationID":"EiAJUOGU","properties":{"formattedCitation":"(Ernst 1994; Greenbaum 1996, pp. 2\\uc0\\u8211{}3)","plainCitation":"(Ernst 1994; Greenbaum 1996, pp. 2–3)","noteIndex":0},"citationItems":[{"id":63067,"uris":["http://zo</vt:lpwstr>
  </property>
  <property fmtid="{D5CDD505-2E9C-101B-9397-08002B2CF9AE}" pid="21" name="ZOTERO_BREF_nOh0h30CRAuA_2">
    <vt:lpwstr>tero.org/users/7800386/items/BX9I3NPY"],"itemData":{"id":63067,"type":"thesis","genre":"Master's Thesis","publisher":"Department of Philosophy, Kings College, University of London","title":"Meaning and Mind in Monkeys","author":[{"family":"Ernst","given":</vt:lpwstr>
  </property>
  <property fmtid="{D5CDD505-2E9C-101B-9397-08002B2CF9AE}" pid="22" name="ZOTERO_BREF_nOh0h30CRAuA_3">
    <vt:lpwstr>"Pascal"}],"issued":{"date-parts":[["1994"]]}}},{"id":63045,"uris":["http://zotero.org/users/7800386/items/VPV5CQC5"],"itemData":{"id":63045,"type":"book","event-place":"Oxford","publisher":"Clarendon Press","publisher-place":"Oxford","title":"Comparing E</vt:lpwstr>
  </property>
  <property fmtid="{D5CDD505-2E9C-101B-9397-08002B2CF9AE}" pid="23" name="ZOTERO_BREF_nOh0h30CRAuA_4">
    <vt:lpwstr>nglish Worldwide: The International Corpus of English","editor":[{"family":"Greenbaum","given":"Sidney"}],"issued":{"date-parts":[["1996"]]}},"locator":"2-3","label":"page"}],"schema":"https://github.com/citation-style-language/schema/raw/master/csl-citat</vt:lpwstr>
  </property>
  <property fmtid="{D5CDD505-2E9C-101B-9397-08002B2CF9AE}" pid="24" name="ZOTERO_BREF_nOh0h30CRAuA_5">
    <vt:lpwstr>ion.json"}</vt:lpwstr>
  </property>
  <property fmtid="{D5CDD505-2E9C-101B-9397-08002B2CF9AE}" pid="25" name="ZOTERO_BREF_uTco13lYWpsN_1">
    <vt:lpwstr>ZOTERO_ITEM CSL_CITATION {"citationID":"5sCYlDOo","properties":{"formattedCitation":"(Hasselg\\uc0\\u229{}rd/Johansson 2011)","plainCitation":"(Hasselgård/Johansson 2011)","noteIndex":0},"citationItems":[{"id":63063,"uris":["http://zotero.org/users/780038</vt:lpwstr>
  </property>
  <property fmtid="{D5CDD505-2E9C-101B-9397-08002B2CF9AE}" pid="26" name="ZOTERO_BREF_uTco13lYWpsN_2">
    <vt:lpwstr>6/items/CRCEURAF"],"itemData":{"id":63063,"type":"chapter","collection-title":"Studies in Corpus Linguistics","container-title":"A Taste for Corpora","event-place":"Amsterdam","note":"publisher: John Benjamins","page":"33-61","publisher":"Benjamins","publ</vt:lpwstr>
  </property>
  <property fmtid="{D5CDD505-2E9C-101B-9397-08002B2CF9AE}" pid="27" name="ZOTERO_BREF_uTco13lYWpsN_3">
    <vt:lpwstr>isher-place":"Amsterdam","title":"Learner corpora and contrastive interlanguage analysis","author":[{"family":"Hasselgård","given":"Hilde"},{"family":"Johansson","given":"Stig"}],"editor":[{"family":"Meunier","given":"Fanny"},{"family":"Paquot","given":"M</vt:lpwstr>
  </property>
  <property fmtid="{D5CDD505-2E9C-101B-9397-08002B2CF9AE}" pid="28" name="ZOTERO_BREF_uTco13lYWpsN_4">
    <vt:lpwstr>agali"},{"family":"Gilquin","given":"Gaëtanelle"},{"family":"De Cock","given":"Sylvie"}],"issued":{"date-parts":[["2011"]]}}}],"schema":"https://github.com/citation-style-language/schema/raw/master/csl-citation.json"}</vt:lpwstr>
  </property>
  <property fmtid="{D5CDD505-2E9C-101B-9397-08002B2CF9AE}" pid="29" name="ZOTERO_BREF_xuNV8XID0H2x_1">
    <vt:lpwstr>ZOTERO_BIBL {"uncited":[],"omitted":[],"custom":[]} CSL_BIBLIOGRAPHY</vt:lpwstr>
  </property>
  <property fmtid="{D5CDD505-2E9C-101B-9397-08002B2CF9AE}" pid="30" name="ZOTERO_PREF_1">
    <vt:lpwstr>&lt;data data-version="3" zotero-version="6.0.22"&gt;&lt;session id="oEl9wfyX"/&gt;&lt;style id="http://www.zotero.org/styles/ICLC-10" locale="en-GB" hasBibliography="1" bibliographyStyleHasBeenSet="0"/&gt;&lt;prefs&gt;&lt;pref name="fieldType" value="Field"/&gt;&lt;pref name="automaticJ</vt:lpwstr>
  </property>
  <property fmtid="{D5CDD505-2E9C-101B-9397-08002B2CF9AE}" pid="31" name="ZOTERO_PREF_2">
    <vt:lpwstr>ournalAbbreviations" value="true"/&gt;&lt;/prefs&gt;&lt;/data&gt;</vt:lpwstr>
  </property>
</Properties>
</file>