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B181E" w:rsidRDefault="0072137D">
      <w:pPr>
        <w:pStyle w:val="Author"/>
      </w:pPr>
      <w:proofErr w:type="spellStart"/>
      <w:r>
        <w:t>Anne-Kathrin</w:t>
      </w:r>
      <w:proofErr w:type="spellEnd"/>
      <w:r>
        <w:t xml:space="preserve"> </w:t>
      </w:r>
      <w:proofErr w:type="spellStart"/>
      <w:r>
        <w:t>Gärtig</w:t>
      </w:r>
      <w:proofErr w:type="spellEnd"/>
      <w:r>
        <w:t>-Bressan</w:t>
      </w:r>
    </w:p>
    <w:p w:rsidR="00AB181E" w:rsidRDefault="0072137D">
      <w:pPr>
        <w:pStyle w:val="Titel"/>
      </w:pPr>
      <w:r w:rsidRPr="0072137D">
        <w:t>Verbs for expressing the modification of objects</w:t>
      </w:r>
    </w:p>
    <w:p w:rsidR="00AB181E" w:rsidRDefault="0072137D">
      <w:pPr>
        <w:pStyle w:val="Untertitel"/>
      </w:pPr>
      <w:r w:rsidRPr="0072137D">
        <w:t>Lexicalisation strategies and preferences in German and Italian</w:t>
      </w:r>
    </w:p>
    <w:p w:rsidR="00AB181E" w:rsidRDefault="00224AA6">
      <w:pPr>
        <w:pStyle w:val="Keywords"/>
        <w:jc w:val="left"/>
      </w:pPr>
      <w:r>
        <w:rPr>
          <w:b/>
          <w:szCs w:val="20"/>
        </w:rPr>
        <w:t>Keywords:</w:t>
      </w:r>
      <w:r>
        <w:rPr>
          <w:szCs w:val="20"/>
        </w:rPr>
        <w:t xml:space="preserve"> </w:t>
      </w:r>
      <w:r w:rsidR="0072137D" w:rsidRPr="0072137D">
        <w:rPr>
          <w:szCs w:val="20"/>
        </w:rPr>
        <w:t>Lexicalization patterns</w:t>
      </w:r>
      <w:r w:rsidR="0072137D">
        <w:rPr>
          <w:szCs w:val="20"/>
        </w:rPr>
        <w:t>;</w:t>
      </w:r>
      <w:r w:rsidR="0072137D" w:rsidRPr="0072137D">
        <w:rPr>
          <w:szCs w:val="20"/>
        </w:rPr>
        <w:t xml:space="preserve"> drying and cleaning events</w:t>
      </w:r>
      <w:r w:rsidR="0072137D">
        <w:rPr>
          <w:szCs w:val="20"/>
        </w:rPr>
        <w:t>;</w:t>
      </w:r>
      <w:r w:rsidR="0072137D" w:rsidRPr="0072137D">
        <w:rPr>
          <w:szCs w:val="20"/>
        </w:rPr>
        <w:t xml:space="preserve"> modification of an object</w:t>
      </w:r>
      <w:r w:rsidR="0072137D">
        <w:rPr>
          <w:szCs w:val="20"/>
        </w:rPr>
        <w:t>;</w:t>
      </w:r>
      <w:r w:rsidR="0072137D" w:rsidRPr="0072137D">
        <w:rPr>
          <w:szCs w:val="20"/>
        </w:rPr>
        <w:t xml:space="preserve"> linguistic typology</w:t>
      </w:r>
      <w:r w:rsidR="0072137D">
        <w:rPr>
          <w:szCs w:val="20"/>
        </w:rPr>
        <w:t>;</w:t>
      </w:r>
      <w:r w:rsidR="0072137D" w:rsidRPr="0072137D">
        <w:rPr>
          <w:szCs w:val="20"/>
        </w:rPr>
        <w:t xml:space="preserve"> </w:t>
      </w:r>
      <w:proofErr w:type="spellStart"/>
      <w:r w:rsidR="0072137D" w:rsidRPr="0072137D">
        <w:rPr>
          <w:szCs w:val="20"/>
        </w:rPr>
        <w:t>Imagact</w:t>
      </w:r>
      <w:proofErr w:type="spellEnd"/>
      <w:r w:rsidR="0072137D" w:rsidRPr="0072137D">
        <w:rPr>
          <w:szCs w:val="20"/>
        </w:rPr>
        <w:t xml:space="preserve"> ontology</w:t>
      </w:r>
      <w:r w:rsidR="0072137D">
        <w:rPr>
          <w:szCs w:val="20"/>
        </w:rPr>
        <w:t>;</w:t>
      </w:r>
      <w:r w:rsidR="0072137D" w:rsidRPr="0072137D">
        <w:rPr>
          <w:szCs w:val="20"/>
        </w:rPr>
        <w:t xml:space="preserve"> German and Italian action verbs</w:t>
      </w:r>
    </w:p>
    <w:p w:rsidR="0072137D" w:rsidRPr="0072137D" w:rsidRDefault="0072137D" w:rsidP="0072137D">
      <w:pPr>
        <w:rPr>
          <w:lang w:val="en-US"/>
        </w:rPr>
      </w:pPr>
      <w:r w:rsidRPr="0072137D">
        <w:rPr>
          <w:lang w:val="en-US"/>
        </w:rPr>
        <w:t xml:space="preserve">Since </w:t>
      </w:r>
      <w:proofErr w:type="spellStart"/>
      <w:r w:rsidRPr="0072137D">
        <w:rPr>
          <w:lang w:val="en-US"/>
        </w:rPr>
        <w:t>Talmy</w:t>
      </w:r>
      <w:proofErr w:type="spellEnd"/>
      <w:r w:rsidRPr="0072137D">
        <w:rPr>
          <w:lang w:val="en-US"/>
        </w:rPr>
        <w:t xml:space="preserve"> (cf. 1985) we know that languages show very different </w:t>
      </w:r>
      <w:proofErr w:type="spellStart"/>
      <w:r w:rsidRPr="0072137D">
        <w:rPr>
          <w:lang w:val="en-US"/>
        </w:rPr>
        <w:t>lexicalisation</w:t>
      </w:r>
      <w:proofErr w:type="spellEnd"/>
      <w:r w:rsidRPr="0072137D">
        <w:rPr>
          <w:lang w:val="en-US"/>
        </w:rPr>
        <w:t xml:space="preserve"> preferences when </w:t>
      </w:r>
      <w:proofErr w:type="spellStart"/>
      <w:r w:rsidRPr="0072137D">
        <w:rPr>
          <w:lang w:val="en-US"/>
        </w:rPr>
        <w:t>verbalising</w:t>
      </w:r>
      <w:proofErr w:type="spellEnd"/>
      <w:r w:rsidRPr="0072137D">
        <w:rPr>
          <w:lang w:val="en-US"/>
        </w:rPr>
        <w:t xml:space="preserve"> motion events and that Italian, as a Romance language, prefers to express the direction of movement, </w:t>
      </w:r>
      <w:r w:rsidRPr="0072137D">
        <w:rPr>
          <w:smallCaps/>
          <w:lang w:val="en-US"/>
        </w:rPr>
        <w:t>path</w:t>
      </w:r>
      <w:r w:rsidRPr="0072137D">
        <w:rPr>
          <w:lang w:val="en-US"/>
        </w:rPr>
        <w:t xml:space="preserve"> in </w:t>
      </w:r>
      <w:proofErr w:type="spellStart"/>
      <w:r w:rsidRPr="0072137D">
        <w:rPr>
          <w:lang w:val="en-US"/>
        </w:rPr>
        <w:t>Talmy’s</w:t>
      </w:r>
      <w:proofErr w:type="spellEnd"/>
      <w:r w:rsidRPr="0072137D">
        <w:rPr>
          <w:lang w:val="en-US"/>
        </w:rPr>
        <w:t xml:space="preserve"> terms, in its verbs (e.g. in </w:t>
      </w:r>
      <w:proofErr w:type="spellStart"/>
      <w:r w:rsidRPr="0072137D">
        <w:rPr>
          <w:i/>
          <w:iCs/>
          <w:lang w:val="en-US"/>
        </w:rPr>
        <w:t>salire</w:t>
      </w:r>
      <w:proofErr w:type="spellEnd"/>
      <w:r w:rsidRPr="0072137D">
        <w:rPr>
          <w:lang w:val="en-US"/>
        </w:rPr>
        <w:t>), whereas German, as a Germanic language, tends to outsource this semantic component to a satellite and encodes the type of movement (</w:t>
      </w:r>
      <w:r w:rsidRPr="0072137D">
        <w:rPr>
          <w:smallCaps/>
          <w:lang w:val="en-US"/>
        </w:rPr>
        <w:t>manner</w:t>
      </w:r>
      <w:r w:rsidRPr="0072137D">
        <w:rPr>
          <w:lang w:val="en-US"/>
        </w:rPr>
        <w:t xml:space="preserve">) in the verb itself instead (e.g. in </w:t>
      </w:r>
      <w:proofErr w:type="spellStart"/>
      <w:r w:rsidRPr="0072137D">
        <w:rPr>
          <w:i/>
          <w:lang w:val="en-US"/>
        </w:rPr>
        <w:t>hinaufgehen</w:t>
      </w:r>
      <w:proofErr w:type="spellEnd"/>
      <w:r w:rsidRPr="0072137D">
        <w:rPr>
          <w:lang w:val="en-US"/>
        </w:rPr>
        <w:t xml:space="preserve">). Following on, studies on other semantic classes of action verbs (cf. e.g. </w:t>
      </w:r>
      <w:proofErr w:type="spellStart"/>
      <w:r w:rsidRPr="0072137D">
        <w:rPr>
          <w:lang w:val="en-US"/>
        </w:rPr>
        <w:t>Talmy</w:t>
      </w:r>
      <w:proofErr w:type="spellEnd"/>
      <w:r w:rsidRPr="0072137D">
        <w:rPr>
          <w:lang w:val="en-US"/>
        </w:rPr>
        <w:t xml:space="preserve"> 2000; Herslund 2007; Korzen 2016 and 2018) have shown that Germanic languages also have a high “manner salience” (Slobin 2004) in this verbs, while Romance languages tend to focus on the </w:t>
      </w:r>
      <w:r w:rsidRPr="0072137D">
        <w:rPr>
          <w:smallCaps/>
          <w:lang w:val="en-US"/>
        </w:rPr>
        <w:t>result</w:t>
      </w:r>
      <w:r w:rsidRPr="0072137D">
        <w:rPr>
          <w:lang w:val="en-US"/>
        </w:rPr>
        <w:t xml:space="preserve"> of an action and prefer generic verbs (cf. Moneglia &amp; Panunzi 2010) with a high extension for many actions, which are </w:t>
      </w:r>
      <w:proofErr w:type="spellStart"/>
      <w:r w:rsidRPr="0072137D">
        <w:rPr>
          <w:lang w:val="en-US"/>
        </w:rPr>
        <w:t>characterised</w:t>
      </w:r>
      <w:proofErr w:type="spellEnd"/>
      <w:r w:rsidRPr="0072137D">
        <w:rPr>
          <w:lang w:val="en-US"/>
        </w:rPr>
        <w:t xml:space="preserve"> precisely by the absence of the </w:t>
      </w:r>
      <w:r w:rsidRPr="0072137D">
        <w:rPr>
          <w:smallCaps/>
          <w:lang w:val="en-US"/>
        </w:rPr>
        <w:t>manner</w:t>
      </w:r>
      <w:r w:rsidRPr="0072137D">
        <w:rPr>
          <w:lang w:val="en-US"/>
        </w:rPr>
        <w:t xml:space="preserve"> component (cf. Korzen 2018). Also, German verbs seem to have a higher variation in expressing concrete actions, not least due to its possibilities of verbal word formation with preverbs (besides </w:t>
      </w:r>
      <w:proofErr w:type="spellStart"/>
      <w:r w:rsidRPr="0072137D">
        <w:rPr>
          <w:i/>
          <w:iCs/>
          <w:lang w:val="en-US"/>
        </w:rPr>
        <w:t>wischen</w:t>
      </w:r>
      <w:proofErr w:type="spellEnd"/>
      <w:r w:rsidRPr="0072137D">
        <w:rPr>
          <w:lang w:val="en-US"/>
        </w:rPr>
        <w:t xml:space="preserve">, for example, we find </w:t>
      </w:r>
      <w:proofErr w:type="spellStart"/>
      <w:r w:rsidRPr="0072137D">
        <w:rPr>
          <w:i/>
          <w:iCs/>
          <w:lang w:val="en-US"/>
        </w:rPr>
        <w:t>abwischen</w:t>
      </w:r>
      <w:proofErr w:type="spellEnd"/>
      <w:r w:rsidRPr="0072137D">
        <w:rPr>
          <w:lang w:val="en-US"/>
        </w:rPr>
        <w:t xml:space="preserve">, </w:t>
      </w:r>
      <w:proofErr w:type="spellStart"/>
      <w:r w:rsidRPr="0072137D">
        <w:rPr>
          <w:i/>
          <w:iCs/>
          <w:lang w:val="en-US"/>
        </w:rPr>
        <w:t>aufwischen</w:t>
      </w:r>
      <w:proofErr w:type="spellEnd"/>
      <w:r w:rsidRPr="0072137D">
        <w:rPr>
          <w:lang w:val="en-US"/>
        </w:rPr>
        <w:t xml:space="preserve">, </w:t>
      </w:r>
      <w:proofErr w:type="spellStart"/>
      <w:r w:rsidRPr="0072137D">
        <w:rPr>
          <w:i/>
          <w:iCs/>
          <w:lang w:val="en-US"/>
        </w:rPr>
        <w:t>wegwischen</w:t>
      </w:r>
      <w:proofErr w:type="spellEnd"/>
      <w:r w:rsidRPr="0072137D">
        <w:rPr>
          <w:iCs/>
          <w:lang w:val="en-US"/>
        </w:rPr>
        <w:t xml:space="preserve">, cf. </w:t>
      </w:r>
      <w:proofErr w:type="spellStart"/>
      <w:r w:rsidRPr="0072137D">
        <w:rPr>
          <w:iCs/>
          <w:lang w:val="en-US"/>
        </w:rPr>
        <w:t>Donalies</w:t>
      </w:r>
      <w:proofErr w:type="spellEnd"/>
      <w:r w:rsidRPr="0072137D">
        <w:rPr>
          <w:iCs/>
          <w:lang w:val="en-US"/>
        </w:rPr>
        <w:t xml:space="preserve"> 2011</w:t>
      </w:r>
      <w:r w:rsidRPr="0072137D">
        <w:rPr>
          <w:lang w:val="en-US"/>
        </w:rPr>
        <w:t>).</w:t>
      </w:r>
    </w:p>
    <w:p w:rsidR="0072137D" w:rsidRPr="0072137D" w:rsidRDefault="0072137D" w:rsidP="0072137D">
      <w:pPr>
        <w:rPr>
          <w:lang w:val="en-US"/>
        </w:rPr>
      </w:pPr>
      <w:r w:rsidRPr="0072137D">
        <w:rPr>
          <w:lang w:val="en-US"/>
        </w:rPr>
        <w:t xml:space="preserve">The proposed paper takes a look at the semantic subclass of verbs for expressing the modification of an object and specifically for expressing drying and cleaning events, which are particularly </w:t>
      </w:r>
      <w:proofErr w:type="spellStart"/>
      <w:r w:rsidRPr="0072137D">
        <w:rPr>
          <w:lang w:val="en-US"/>
        </w:rPr>
        <w:t>characterised</w:t>
      </w:r>
      <w:proofErr w:type="spellEnd"/>
      <w:r w:rsidRPr="0072137D">
        <w:rPr>
          <w:lang w:val="en-US"/>
        </w:rPr>
        <w:t xml:space="preserve"> by the semantic components </w:t>
      </w:r>
      <w:r w:rsidRPr="0072137D">
        <w:rPr>
          <w:smallCaps/>
          <w:lang w:val="en-US"/>
        </w:rPr>
        <w:t>manner</w:t>
      </w:r>
      <w:r w:rsidRPr="0072137D">
        <w:rPr>
          <w:lang w:val="en-US"/>
        </w:rPr>
        <w:t xml:space="preserve"> (How is an object cleaned/dried?) and </w:t>
      </w:r>
      <w:r w:rsidRPr="0072137D">
        <w:rPr>
          <w:smallCaps/>
          <w:lang w:val="en-US"/>
        </w:rPr>
        <w:t>result</w:t>
      </w:r>
      <w:r w:rsidRPr="0072137D">
        <w:rPr>
          <w:lang w:val="en-US"/>
        </w:rPr>
        <w:t xml:space="preserve"> (What is the processed object like after the action?). It asks not only what kind of verbs or verbal expressions with what semantic features the two languages provide for this subclass, but rather what kind of verbs speakers of German and Italian actually prefer in a given context. </w:t>
      </w:r>
    </w:p>
    <w:p w:rsidR="0072137D" w:rsidRPr="0072137D" w:rsidRDefault="0072137D" w:rsidP="0072137D">
      <w:pPr>
        <w:rPr>
          <w:lang w:val="en-US"/>
        </w:rPr>
      </w:pPr>
      <w:r w:rsidRPr="0072137D">
        <w:rPr>
          <w:lang w:val="en-US"/>
        </w:rPr>
        <w:t>To this end, an online experiment was conducted between 2019 and 2020 in which the participating test subjects were shown a total of 20 short videos or animations in which a person could be seen performing a specific activity. For each video, the participants were asked to answer the simple question: What is the person you see doing? The sample drawn consisted of 30 test persons per language, originating from different regions of the Italian and German speaking areas and comparable in terms of age and educational background. For this study, their response sentences to a total of nine videos (see figure 1) showing a person cleaning or drying an object were evaluated. There were therefore 270 responses per language.</w:t>
      </w:r>
    </w:p>
    <w:p w:rsidR="0072137D" w:rsidRPr="0072137D" w:rsidRDefault="0072137D" w:rsidP="0072137D">
      <w:pPr>
        <w:rPr>
          <w:lang w:val="en-US"/>
        </w:rPr>
      </w:pPr>
      <w:r w:rsidRPr="0072137D">
        <w:rPr>
          <w:lang w:val="en-US"/>
        </w:rPr>
        <w:t xml:space="preserve">The research questions were: What variation can be found in the </w:t>
      </w:r>
      <w:proofErr w:type="spellStart"/>
      <w:r w:rsidRPr="0072137D">
        <w:rPr>
          <w:lang w:val="en-US"/>
        </w:rPr>
        <w:t>verbalisation</w:t>
      </w:r>
      <w:proofErr w:type="spellEnd"/>
      <w:r w:rsidRPr="0072137D">
        <w:rPr>
          <w:lang w:val="en-US"/>
        </w:rPr>
        <w:t xml:space="preserve"> of drying and cleaning events by verbs in German and Italian? Which semantic features are encoded particularly frequently by the languages in each case and in which part of the verbal expression </w:t>
      </w:r>
      <w:r w:rsidRPr="0072137D">
        <w:rPr>
          <w:lang w:val="en-US"/>
        </w:rPr>
        <w:lastRenderedPageBreak/>
        <w:t>(especially for German, more in the base verb or in the satellite) and what role do the different word formation possibilities play in this?</w:t>
      </w:r>
    </w:p>
    <w:p w:rsidR="0072137D" w:rsidRPr="0072137D" w:rsidRDefault="0072137D" w:rsidP="0072137D">
      <w:pPr>
        <w:rPr>
          <w:lang w:val="en-US"/>
        </w:rPr>
      </w:pPr>
      <w:r w:rsidRPr="0072137D">
        <w:rPr>
          <w:lang w:val="en-US"/>
        </w:rPr>
        <w:t>The evaluation yielded the following results: The German sample uses a total of 43 verbs or verbal expressions to describe the nine short video animations, while the Italian sample uses only 24 for the same scenes. The variation is thus significantly higher in German, which is also related to the different verbal word formation possibilities of this language.</w:t>
      </w:r>
    </w:p>
    <w:p w:rsidR="0072137D" w:rsidRPr="0072137D" w:rsidRDefault="0072137D" w:rsidP="0072137D">
      <w:pPr>
        <w:rPr>
          <w:lang w:val="en-US"/>
        </w:rPr>
      </w:pPr>
      <w:r w:rsidRPr="0072137D">
        <w:rPr>
          <w:lang w:val="en-US"/>
        </w:rPr>
        <w:t xml:space="preserve">As expected, the German verbs prefer to express the </w:t>
      </w:r>
      <w:r w:rsidRPr="0072137D">
        <w:rPr>
          <w:smallCaps/>
          <w:lang w:val="en-US"/>
        </w:rPr>
        <w:t>manner</w:t>
      </w:r>
      <w:r w:rsidRPr="0072137D">
        <w:rPr>
          <w:lang w:val="en-US"/>
        </w:rPr>
        <w:t xml:space="preserve"> component. A total of 69.6% of the verbs mentioned contain it, alone (24.8%) or in combination with other components (besides </w:t>
      </w:r>
      <w:r w:rsidRPr="0072137D">
        <w:rPr>
          <w:smallCaps/>
          <w:lang w:val="en-US"/>
        </w:rPr>
        <w:t>result</w:t>
      </w:r>
      <w:r w:rsidRPr="0072137D">
        <w:rPr>
          <w:lang w:val="en-US"/>
        </w:rPr>
        <w:t xml:space="preserve">, also </w:t>
      </w:r>
      <w:r w:rsidRPr="0072137D">
        <w:rPr>
          <w:smallCaps/>
          <w:lang w:val="en-US"/>
        </w:rPr>
        <w:t>privation</w:t>
      </w:r>
      <w:r w:rsidRPr="0072137D">
        <w:rPr>
          <w:lang w:val="en-US"/>
        </w:rPr>
        <w:t xml:space="preserve">, among others). In contrast, the component </w:t>
      </w:r>
      <w:r w:rsidRPr="0072137D">
        <w:rPr>
          <w:smallCaps/>
          <w:lang w:val="en-US"/>
        </w:rPr>
        <w:t>result</w:t>
      </w:r>
      <w:r w:rsidRPr="0072137D">
        <w:rPr>
          <w:lang w:val="en-US"/>
        </w:rPr>
        <w:t xml:space="preserve"> is most frequent among the Italian verbs. It is found in a total of 48.1% of the answers, in 45.9% as the only component, namely in the high-frequency general verbs </w:t>
      </w:r>
      <w:proofErr w:type="spellStart"/>
      <w:r w:rsidRPr="0072137D">
        <w:rPr>
          <w:i/>
          <w:iCs/>
          <w:lang w:val="en-US"/>
        </w:rPr>
        <w:t>asciugare</w:t>
      </w:r>
      <w:proofErr w:type="spellEnd"/>
      <w:r w:rsidRPr="0072137D">
        <w:rPr>
          <w:lang w:val="en-US"/>
        </w:rPr>
        <w:t xml:space="preserve"> and </w:t>
      </w:r>
      <w:proofErr w:type="spellStart"/>
      <w:r w:rsidRPr="0072137D">
        <w:rPr>
          <w:i/>
          <w:iCs/>
          <w:lang w:val="en-US"/>
        </w:rPr>
        <w:t>pulire</w:t>
      </w:r>
      <w:proofErr w:type="spellEnd"/>
      <w:r w:rsidRPr="0072137D">
        <w:rPr>
          <w:lang w:val="en-US"/>
        </w:rPr>
        <w:t>. German combines semantic features in its (complex) verbs significantly more often than Italian. In the German sample, the responses contain an average of 1.5 features, in Italian 1.1.</w:t>
      </w:r>
    </w:p>
    <w:p w:rsidR="0072137D" w:rsidRPr="0072137D" w:rsidRDefault="0072137D" w:rsidP="0072137D">
      <w:pPr>
        <w:rPr>
          <w:lang w:val="en-US"/>
        </w:rPr>
      </w:pPr>
      <w:r w:rsidRPr="0072137D">
        <w:rPr>
          <w:lang w:val="en-US"/>
        </w:rPr>
        <w:t xml:space="preserve">Awareness of these different </w:t>
      </w:r>
      <w:proofErr w:type="spellStart"/>
      <w:r w:rsidRPr="0072137D">
        <w:rPr>
          <w:lang w:val="en-US"/>
        </w:rPr>
        <w:t>lexicalisation</w:t>
      </w:r>
      <w:proofErr w:type="spellEnd"/>
      <w:r w:rsidRPr="0072137D">
        <w:rPr>
          <w:lang w:val="en-US"/>
        </w:rPr>
        <w:t xml:space="preserve"> strategies is of high importance also for the applied disciplines closely related to contrastive linguistics, such as foreign language teaching and translation and its didactics.</w:t>
      </w:r>
    </w:p>
    <w:p w:rsidR="00AB181E" w:rsidRPr="0072137D" w:rsidRDefault="00AB181E">
      <w:pPr>
        <w:rPr>
          <w:lang w:val="en-US"/>
        </w:rPr>
      </w:pPr>
    </w:p>
    <w:tbl>
      <w:tblPr>
        <w:tblStyle w:val="Tabellenraster1"/>
        <w:tblW w:w="0" w:type="auto"/>
        <w:jc w:val="center"/>
        <w:tblBorders>
          <w:insideH w:val="none" w:sz="0" w:space="0" w:color="auto"/>
          <w:insideV w:val="none" w:sz="0" w:space="0" w:color="auto"/>
        </w:tblBorders>
        <w:tblLook w:val="04A0" w:firstRow="1" w:lastRow="0" w:firstColumn="1" w:lastColumn="0" w:noHBand="0" w:noVBand="1"/>
      </w:tblPr>
      <w:tblGrid>
        <w:gridCol w:w="2718"/>
        <w:gridCol w:w="2718"/>
        <w:gridCol w:w="2718"/>
      </w:tblGrid>
      <w:tr w:rsidR="0072137D" w:rsidRPr="0072137D" w:rsidTr="00DE303E">
        <w:trPr>
          <w:jc w:val="center"/>
        </w:trPr>
        <w:tc>
          <w:tcPr>
            <w:tcW w:w="3020" w:type="dxa"/>
          </w:tcPr>
          <w:p w:rsidR="0072137D" w:rsidRPr="0072137D" w:rsidRDefault="0072137D" w:rsidP="0072137D">
            <w:pPr>
              <w:spacing w:before="0" w:after="160" w:line="259" w:lineRule="auto"/>
              <w:jc w:val="center"/>
              <w:rPr>
                <w:rFonts w:ascii="Times New Roman" w:hAnsi="Times New Roman"/>
                <w:sz w:val="18"/>
                <w:szCs w:val="18"/>
              </w:rPr>
            </w:pPr>
          </w:p>
          <w:p w:rsidR="0072137D" w:rsidRPr="0072137D" w:rsidRDefault="0072137D" w:rsidP="0072137D">
            <w:pPr>
              <w:spacing w:before="0" w:after="160" w:line="259" w:lineRule="auto"/>
              <w:jc w:val="center"/>
              <w:rPr>
                <w:rFonts w:ascii="Times New Roman" w:hAnsi="Times New Roman"/>
                <w:sz w:val="18"/>
                <w:szCs w:val="18"/>
              </w:rPr>
            </w:pPr>
            <w:r w:rsidRPr="0072137D">
              <w:rPr>
                <w:rFonts w:ascii="Times New Roman" w:hAnsi="Times New Roman"/>
                <w:noProof/>
                <w:sz w:val="18"/>
                <w:szCs w:val="18"/>
              </w:rPr>
              <w:drawing>
                <wp:inline distT="0" distB="0" distL="0" distR="0" wp14:anchorId="49992AAB" wp14:editId="1406CF72">
                  <wp:extent cx="1728000" cy="972000"/>
                  <wp:effectExtent l="0" t="0" r="571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28000" cy="972000"/>
                          </a:xfrm>
                          <a:prstGeom prst="rect">
                            <a:avLst/>
                          </a:prstGeom>
                        </pic:spPr>
                      </pic:pic>
                    </a:graphicData>
                  </a:graphic>
                </wp:inline>
              </w:drawing>
            </w:r>
          </w:p>
          <w:p w:rsidR="0072137D" w:rsidRPr="0072137D" w:rsidRDefault="004E0F80" w:rsidP="0072137D">
            <w:pPr>
              <w:spacing w:before="0" w:after="160" w:line="259" w:lineRule="auto"/>
              <w:jc w:val="center"/>
              <w:rPr>
                <w:rFonts w:ascii="Times New Roman" w:hAnsi="Times New Roman"/>
                <w:sz w:val="18"/>
                <w:szCs w:val="18"/>
              </w:rPr>
            </w:pPr>
            <w:r>
              <w:rPr>
                <w:sz w:val="18"/>
                <w:szCs w:val="18"/>
              </w:rPr>
              <w:t>Scene 1</w:t>
            </w:r>
          </w:p>
        </w:tc>
        <w:tc>
          <w:tcPr>
            <w:tcW w:w="3021" w:type="dxa"/>
          </w:tcPr>
          <w:p w:rsidR="0072137D" w:rsidRPr="0072137D" w:rsidRDefault="0072137D" w:rsidP="0072137D">
            <w:pPr>
              <w:spacing w:before="0" w:after="160" w:line="259" w:lineRule="auto"/>
              <w:jc w:val="center"/>
              <w:rPr>
                <w:rFonts w:ascii="Times New Roman" w:hAnsi="Times New Roman"/>
                <w:sz w:val="18"/>
                <w:szCs w:val="18"/>
              </w:rPr>
            </w:pPr>
          </w:p>
          <w:p w:rsidR="0072137D" w:rsidRPr="0072137D" w:rsidRDefault="0072137D" w:rsidP="0072137D">
            <w:pPr>
              <w:spacing w:before="0" w:after="160" w:line="259" w:lineRule="auto"/>
              <w:jc w:val="center"/>
              <w:rPr>
                <w:rFonts w:ascii="Times New Roman" w:hAnsi="Times New Roman"/>
                <w:sz w:val="18"/>
                <w:szCs w:val="18"/>
              </w:rPr>
            </w:pPr>
            <w:r w:rsidRPr="0072137D">
              <w:rPr>
                <w:rFonts w:ascii="Times New Roman" w:hAnsi="Times New Roman"/>
                <w:noProof/>
                <w:sz w:val="18"/>
                <w:szCs w:val="18"/>
              </w:rPr>
              <w:drawing>
                <wp:inline distT="0" distB="0" distL="0" distR="0" wp14:anchorId="6450FC6A" wp14:editId="11F04A99">
                  <wp:extent cx="1728001" cy="972000"/>
                  <wp:effectExtent l="0" t="0" r="571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28001" cy="972000"/>
                          </a:xfrm>
                          <a:prstGeom prst="rect">
                            <a:avLst/>
                          </a:prstGeom>
                        </pic:spPr>
                      </pic:pic>
                    </a:graphicData>
                  </a:graphic>
                </wp:inline>
              </w:drawing>
            </w:r>
          </w:p>
          <w:p w:rsidR="0072137D" w:rsidRPr="0072137D" w:rsidRDefault="004E0F80" w:rsidP="004E0F80">
            <w:pPr>
              <w:spacing w:before="0" w:after="160" w:line="259" w:lineRule="auto"/>
              <w:jc w:val="center"/>
              <w:rPr>
                <w:rFonts w:ascii="Times New Roman" w:hAnsi="Times New Roman"/>
                <w:sz w:val="18"/>
                <w:szCs w:val="18"/>
              </w:rPr>
            </w:pPr>
            <w:r>
              <w:rPr>
                <w:sz w:val="18"/>
                <w:szCs w:val="18"/>
              </w:rPr>
              <w:t xml:space="preserve">Scene </w:t>
            </w:r>
            <w:r>
              <w:rPr>
                <w:sz w:val="18"/>
                <w:szCs w:val="18"/>
              </w:rPr>
              <w:t>2</w:t>
            </w:r>
          </w:p>
        </w:tc>
        <w:tc>
          <w:tcPr>
            <w:tcW w:w="3021" w:type="dxa"/>
          </w:tcPr>
          <w:p w:rsidR="0072137D" w:rsidRPr="0072137D" w:rsidRDefault="0072137D" w:rsidP="0072137D">
            <w:pPr>
              <w:spacing w:before="0" w:after="160" w:line="259" w:lineRule="auto"/>
              <w:jc w:val="center"/>
              <w:rPr>
                <w:rFonts w:ascii="Times New Roman" w:hAnsi="Times New Roman"/>
                <w:sz w:val="18"/>
                <w:szCs w:val="18"/>
              </w:rPr>
            </w:pPr>
          </w:p>
          <w:p w:rsidR="0072137D" w:rsidRPr="0072137D" w:rsidRDefault="0072137D" w:rsidP="0072137D">
            <w:pPr>
              <w:spacing w:before="0" w:after="160" w:line="259" w:lineRule="auto"/>
              <w:jc w:val="center"/>
              <w:rPr>
                <w:rFonts w:ascii="Times New Roman" w:hAnsi="Times New Roman"/>
                <w:sz w:val="18"/>
                <w:szCs w:val="18"/>
              </w:rPr>
            </w:pPr>
            <w:r w:rsidRPr="0072137D">
              <w:rPr>
                <w:rFonts w:ascii="Times New Roman" w:hAnsi="Times New Roman"/>
                <w:noProof/>
                <w:sz w:val="18"/>
                <w:szCs w:val="18"/>
              </w:rPr>
              <w:drawing>
                <wp:inline distT="0" distB="0" distL="0" distR="0" wp14:anchorId="4A6A8C20" wp14:editId="748E7878">
                  <wp:extent cx="1728000" cy="972000"/>
                  <wp:effectExtent l="0" t="0" r="571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28000" cy="972000"/>
                          </a:xfrm>
                          <a:prstGeom prst="rect">
                            <a:avLst/>
                          </a:prstGeom>
                        </pic:spPr>
                      </pic:pic>
                    </a:graphicData>
                  </a:graphic>
                </wp:inline>
              </w:drawing>
            </w:r>
          </w:p>
          <w:p w:rsidR="0072137D" w:rsidRPr="0072137D" w:rsidRDefault="004E0F80" w:rsidP="0072137D">
            <w:pPr>
              <w:spacing w:before="0" w:after="160" w:line="259" w:lineRule="auto"/>
              <w:jc w:val="center"/>
              <w:rPr>
                <w:rFonts w:ascii="Times New Roman" w:hAnsi="Times New Roman"/>
                <w:sz w:val="18"/>
                <w:szCs w:val="18"/>
              </w:rPr>
            </w:pPr>
            <w:r>
              <w:rPr>
                <w:sz w:val="18"/>
                <w:szCs w:val="18"/>
              </w:rPr>
              <w:t xml:space="preserve">Scene </w:t>
            </w:r>
            <w:r>
              <w:rPr>
                <w:sz w:val="18"/>
                <w:szCs w:val="18"/>
              </w:rPr>
              <w:t>3</w:t>
            </w:r>
          </w:p>
        </w:tc>
      </w:tr>
      <w:tr w:rsidR="0072137D" w:rsidRPr="0072137D" w:rsidTr="00DE303E">
        <w:trPr>
          <w:jc w:val="center"/>
        </w:trPr>
        <w:tc>
          <w:tcPr>
            <w:tcW w:w="3020" w:type="dxa"/>
          </w:tcPr>
          <w:p w:rsidR="0072137D" w:rsidRPr="0072137D" w:rsidRDefault="0072137D" w:rsidP="0072137D">
            <w:pPr>
              <w:spacing w:before="0" w:after="160" w:line="259" w:lineRule="auto"/>
              <w:jc w:val="center"/>
              <w:rPr>
                <w:rFonts w:ascii="Times New Roman" w:hAnsi="Times New Roman"/>
                <w:sz w:val="18"/>
                <w:szCs w:val="18"/>
              </w:rPr>
            </w:pPr>
            <w:r w:rsidRPr="0072137D">
              <w:rPr>
                <w:rFonts w:ascii="Times New Roman" w:hAnsi="Times New Roman"/>
                <w:noProof/>
                <w:sz w:val="18"/>
                <w:szCs w:val="18"/>
              </w:rPr>
              <w:drawing>
                <wp:inline distT="0" distB="0" distL="0" distR="0" wp14:anchorId="18B0936D" wp14:editId="49146B94">
                  <wp:extent cx="1728000" cy="972000"/>
                  <wp:effectExtent l="0" t="0" r="571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28000" cy="972000"/>
                          </a:xfrm>
                          <a:prstGeom prst="rect">
                            <a:avLst/>
                          </a:prstGeom>
                        </pic:spPr>
                      </pic:pic>
                    </a:graphicData>
                  </a:graphic>
                </wp:inline>
              </w:drawing>
            </w:r>
          </w:p>
          <w:p w:rsidR="0072137D" w:rsidRPr="0072137D" w:rsidRDefault="004E0F80" w:rsidP="0072137D">
            <w:pPr>
              <w:spacing w:before="0" w:after="160" w:line="259" w:lineRule="auto"/>
              <w:jc w:val="center"/>
              <w:rPr>
                <w:rFonts w:ascii="Times New Roman" w:hAnsi="Times New Roman"/>
                <w:sz w:val="18"/>
                <w:szCs w:val="18"/>
              </w:rPr>
            </w:pPr>
            <w:r>
              <w:rPr>
                <w:sz w:val="18"/>
                <w:szCs w:val="18"/>
              </w:rPr>
              <w:t xml:space="preserve">Scene </w:t>
            </w:r>
            <w:r>
              <w:rPr>
                <w:sz w:val="18"/>
                <w:szCs w:val="18"/>
              </w:rPr>
              <w:t>4</w:t>
            </w:r>
          </w:p>
        </w:tc>
        <w:tc>
          <w:tcPr>
            <w:tcW w:w="3021" w:type="dxa"/>
          </w:tcPr>
          <w:p w:rsidR="0072137D" w:rsidRPr="0072137D" w:rsidRDefault="0072137D" w:rsidP="0072137D">
            <w:pPr>
              <w:spacing w:before="0" w:after="160" w:line="259" w:lineRule="auto"/>
              <w:rPr>
                <w:rFonts w:ascii="Times New Roman" w:hAnsi="Times New Roman"/>
                <w:sz w:val="18"/>
                <w:szCs w:val="18"/>
              </w:rPr>
            </w:pPr>
            <w:r w:rsidRPr="0072137D">
              <w:rPr>
                <w:rFonts w:ascii="Times New Roman" w:hAnsi="Times New Roman"/>
                <w:noProof/>
                <w:sz w:val="18"/>
                <w:szCs w:val="18"/>
              </w:rPr>
              <w:drawing>
                <wp:inline distT="0" distB="0" distL="0" distR="0" wp14:anchorId="2F6FE256" wp14:editId="724AC159">
                  <wp:extent cx="1728000" cy="972000"/>
                  <wp:effectExtent l="0" t="0" r="571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28000" cy="972000"/>
                          </a:xfrm>
                          <a:prstGeom prst="rect">
                            <a:avLst/>
                          </a:prstGeom>
                        </pic:spPr>
                      </pic:pic>
                    </a:graphicData>
                  </a:graphic>
                </wp:inline>
              </w:drawing>
            </w:r>
          </w:p>
          <w:p w:rsidR="0072137D" w:rsidRPr="0072137D" w:rsidRDefault="004E0F80" w:rsidP="004E0F80">
            <w:pPr>
              <w:spacing w:before="0" w:after="160" w:line="259" w:lineRule="auto"/>
              <w:jc w:val="center"/>
              <w:rPr>
                <w:rFonts w:ascii="Times New Roman" w:hAnsi="Times New Roman"/>
                <w:sz w:val="18"/>
                <w:szCs w:val="18"/>
              </w:rPr>
            </w:pPr>
            <w:r>
              <w:rPr>
                <w:sz w:val="18"/>
                <w:szCs w:val="18"/>
              </w:rPr>
              <w:t xml:space="preserve">Scene </w:t>
            </w:r>
            <w:r>
              <w:rPr>
                <w:sz w:val="18"/>
                <w:szCs w:val="18"/>
              </w:rPr>
              <w:t>5</w:t>
            </w:r>
          </w:p>
        </w:tc>
        <w:tc>
          <w:tcPr>
            <w:tcW w:w="3021" w:type="dxa"/>
          </w:tcPr>
          <w:p w:rsidR="0072137D" w:rsidRPr="0072137D" w:rsidRDefault="0072137D" w:rsidP="0072137D">
            <w:pPr>
              <w:spacing w:before="0" w:after="160" w:line="259" w:lineRule="auto"/>
              <w:rPr>
                <w:rFonts w:ascii="Times New Roman" w:hAnsi="Times New Roman"/>
                <w:sz w:val="18"/>
                <w:szCs w:val="18"/>
              </w:rPr>
            </w:pPr>
            <w:r w:rsidRPr="0072137D">
              <w:rPr>
                <w:rFonts w:ascii="Times New Roman" w:hAnsi="Times New Roman"/>
                <w:noProof/>
                <w:sz w:val="18"/>
                <w:szCs w:val="18"/>
              </w:rPr>
              <w:drawing>
                <wp:inline distT="0" distB="0" distL="0" distR="0" wp14:anchorId="38E877CE" wp14:editId="4948F912">
                  <wp:extent cx="1728000" cy="972000"/>
                  <wp:effectExtent l="0" t="0" r="571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28000" cy="972000"/>
                          </a:xfrm>
                          <a:prstGeom prst="rect">
                            <a:avLst/>
                          </a:prstGeom>
                        </pic:spPr>
                      </pic:pic>
                    </a:graphicData>
                  </a:graphic>
                </wp:inline>
              </w:drawing>
            </w:r>
          </w:p>
          <w:p w:rsidR="0072137D" w:rsidRPr="0072137D" w:rsidRDefault="004E0F80" w:rsidP="004E0F80">
            <w:pPr>
              <w:spacing w:before="0" w:after="160" w:line="259" w:lineRule="auto"/>
              <w:jc w:val="center"/>
              <w:rPr>
                <w:rFonts w:ascii="Times New Roman" w:hAnsi="Times New Roman"/>
                <w:sz w:val="18"/>
                <w:szCs w:val="18"/>
              </w:rPr>
            </w:pPr>
            <w:r>
              <w:rPr>
                <w:sz w:val="18"/>
                <w:szCs w:val="18"/>
              </w:rPr>
              <w:t xml:space="preserve">Scene </w:t>
            </w:r>
            <w:r>
              <w:rPr>
                <w:sz w:val="18"/>
                <w:szCs w:val="18"/>
              </w:rPr>
              <w:t>6</w:t>
            </w:r>
          </w:p>
        </w:tc>
      </w:tr>
      <w:tr w:rsidR="0072137D" w:rsidRPr="0072137D" w:rsidTr="00DE303E">
        <w:trPr>
          <w:jc w:val="center"/>
        </w:trPr>
        <w:tc>
          <w:tcPr>
            <w:tcW w:w="3020" w:type="dxa"/>
          </w:tcPr>
          <w:p w:rsidR="0072137D" w:rsidRPr="0072137D" w:rsidRDefault="0072137D" w:rsidP="0072137D">
            <w:pPr>
              <w:spacing w:before="0" w:after="160" w:line="259" w:lineRule="auto"/>
              <w:jc w:val="center"/>
              <w:rPr>
                <w:rFonts w:ascii="Times New Roman" w:hAnsi="Times New Roman"/>
                <w:sz w:val="18"/>
                <w:szCs w:val="18"/>
              </w:rPr>
            </w:pPr>
            <w:r w:rsidRPr="0072137D">
              <w:rPr>
                <w:rFonts w:ascii="Times New Roman" w:hAnsi="Times New Roman"/>
                <w:noProof/>
                <w:sz w:val="18"/>
                <w:szCs w:val="18"/>
              </w:rPr>
              <w:drawing>
                <wp:inline distT="0" distB="0" distL="0" distR="0" wp14:anchorId="0F87FC36" wp14:editId="6EE360D5">
                  <wp:extent cx="1728000" cy="972000"/>
                  <wp:effectExtent l="0" t="0" r="571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28000" cy="972000"/>
                          </a:xfrm>
                          <a:prstGeom prst="rect">
                            <a:avLst/>
                          </a:prstGeom>
                        </pic:spPr>
                      </pic:pic>
                    </a:graphicData>
                  </a:graphic>
                </wp:inline>
              </w:drawing>
            </w:r>
          </w:p>
          <w:p w:rsidR="0072137D" w:rsidRPr="0072137D" w:rsidRDefault="004E0F80" w:rsidP="004E0F80">
            <w:pPr>
              <w:spacing w:before="0" w:after="160" w:line="259" w:lineRule="auto"/>
              <w:jc w:val="center"/>
              <w:rPr>
                <w:rFonts w:ascii="Times New Roman" w:hAnsi="Times New Roman"/>
                <w:sz w:val="18"/>
                <w:szCs w:val="18"/>
              </w:rPr>
            </w:pPr>
            <w:r>
              <w:rPr>
                <w:sz w:val="18"/>
                <w:szCs w:val="18"/>
              </w:rPr>
              <w:t xml:space="preserve">Scene </w:t>
            </w:r>
            <w:r>
              <w:rPr>
                <w:sz w:val="18"/>
                <w:szCs w:val="18"/>
              </w:rPr>
              <w:t>7</w:t>
            </w:r>
          </w:p>
        </w:tc>
        <w:tc>
          <w:tcPr>
            <w:tcW w:w="3021" w:type="dxa"/>
          </w:tcPr>
          <w:p w:rsidR="0072137D" w:rsidRPr="0072137D" w:rsidRDefault="0072137D" w:rsidP="0072137D">
            <w:pPr>
              <w:spacing w:before="0" w:after="160" w:line="259" w:lineRule="auto"/>
              <w:rPr>
                <w:rFonts w:ascii="Times New Roman" w:hAnsi="Times New Roman"/>
                <w:sz w:val="18"/>
                <w:szCs w:val="18"/>
              </w:rPr>
            </w:pPr>
            <w:r w:rsidRPr="0072137D">
              <w:rPr>
                <w:rFonts w:ascii="Times New Roman" w:hAnsi="Times New Roman"/>
                <w:noProof/>
                <w:sz w:val="18"/>
                <w:szCs w:val="18"/>
              </w:rPr>
              <w:drawing>
                <wp:inline distT="0" distB="0" distL="0" distR="0" wp14:anchorId="2406B495" wp14:editId="304A6C81">
                  <wp:extent cx="1728000" cy="972000"/>
                  <wp:effectExtent l="0" t="0" r="571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28000" cy="972000"/>
                          </a:xfrm>
                          <a:prstGeom prst="rect">
                            <a:avLst/>
                          </a:prstGeom>
                        </pic:spPr>
                      </pic:pic>
                    </a:graphicData>
                  </a:graphic>
                </wp:inline>
              </w:drawing>
            </w:r>
          </w:p>
          <w:p w:rsidR="0072137D" w:rsidRPr="0072137D" w:rsidRDefault="004E0F80" w:rsidP="004E0F80">
            <w:pPr>
              <w:spacing w:before="0" w:after="160" w:line="259" w:lineRule="auto"/>
              <w:jc w:val="center"/>
              <w:rPr>
                <w:rFonts w:ascii="Times New Roman" w:hAnsi="Times New Roman"/>
                <w:sz w:val="18"/>
                <w:szCs w:val="18"/>
              </w:rPr>
            </w:pPr>
            <w:r>
              <w:rPr>
                <w:sz w:val="18"/>
                <w:szCs w:val="18"/>
              </w:rPr>
              <w:t xml:space="preserve">Scene </w:t>
            </w:r>
            <w:r>
              <w:rPr>
                <w:sz w:val="18"/>
                <w:szCs w:val="18"/>
              </w:rPr>
              <w:t>8</w:t>
            </w:r>
          </w:p>
        </w:tc>
        <w:tc>
          <w:tcPr>
            <w:tcW w:w="3021" w:type="dxa"/>
          </w:tcPr>
          <w:p w:rsidR="0072137D" w:rsidRPr="0072137D" w:rsidRDefault="0072137D" w:rsidP="0072137D">
            <w:pPr>
              <w:spacing w:before="0" w:after="160" w:line="259" w:lineRule="auto"/>
              <w:rPr>
                <w:rFonts w:ascii="Times New Roman" w:hAnsi="Times New Roman"/>
                <w:sz w:val="18"/>
                <w:szCs w:val="18"/>
              </w:rPr>
            </w:pPr>
            <w:r w:rsidRPr="0072137D">
              <w:rPr>
                <w:rFonts w:ascii="Times New Roman" w:hAnsi="Times New Roman"/>
                <w:noProof/>
                <w:sz w:val="18"/>
                <w:szCs w:val="18"/>
              </w:rPr>
              <w:drawing>
                <wp:inline distT="0" distB="0" distL="0" distR="0" wp14:anchorId="3231696E" wp14:editId="2CA66F43">
                  <wp:extent cx="1728000" cy="972000"/>
                  <wp:effectExtent l="0" t="0" r="5715"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28000" cy="972000"/>
                          </a:xfrm>
                          <a:prstGeom prst="rect">
                            <a:avLst/>
                          </a:prstGeom>
                        </pic:spPr>
                      </pic:pic>
                    </a:graphicData>
                  </a:graphic>
                </wp:inline>
              </w:drawing>
            </w:r>
          </w:p>
          <w:p w:rsidR="0072137D" w:rsidRPr="0072137D" w:rsidRDefault="004E0F80" w:rsidP="004E0F80">
            <w:pPr>
              <w:spacing w:before="0" w:after="120" w:line="259" w:lineRule="auto"/>
              <w:jc w:val="center"/>
              <w:rPr>
                <w:rFonts w:ascii="Times New Roman" w:hAnsi="Times New Roman"/>
                <w:sz w:val="18"/>
                <w:szCs w:val="18"/>
              </w:rPr>
            </w:pPr>
            <w:r>
              <w:rPr>
                <w:sz w:val="18"/>
                <w:szCs w:val="18"/>
              </w:rPr>
              <w:t xml:space="preserve">Scene </w:t>
            </w:r>
            <w:r>
              <w:rPr>
                <w:sz w:val="18"/>
                <w:szCs w:val="18"/>
              </w:rPr>
              <w:t>9</w:t>
            </w:r>
          </w:p>
        </w:tc>
      </w:tr>
    </w:tbl>
    <w:p w:rsidR="00AB181E" w:rsidRDefault="00224AA6">
      <w:pPr>
        <w:pStyle w:val="Beschriftung"/>
      </w:pPr>
      <w:r>
        <w:t>Fig. 1</w:t>
      </w:r>
      <w:r w:rsidR="004E0F80">
        <w:t xml:space="preserve">: Scenes </w:t>
      </w:r>
      <w:r w:rsidR="004E0F80" w:rsidRPr="004E0F80">
        <w:rPr>
          <w:i/>
          <w:iCs w:val="0"/>
        </w:rPr>
        <w:t>drying and cleaning-events</w:t>
      </w:r>
      <w:r w:rsidR="004E0F80" w:rsidRPr="004E0F80">
        <w:t xml:space="preserve"> </w:t>
      </w:r>
      <w:r w:rsidR="004E0F80">
        <w:t>(</w:t>
      </w:r>
      <w:r w:rsidR="004E0F80" w:rsidRPr="004E0F80">
        <w:t>www.imagact.it)</w:t>
      </w:r>
    </w:p>
    <w:p w:rsidR="00AB181E" w:rsidRDefault="00224AA6">
      <w:pPr>
        <w:pStyle w:val="Rechtsgrundlagenverzeichnis"/>
      </w:pPr>
      <w:r>
        <w:lastRenderedPageBreak/>
        <w:t>References</w:t>
      </w:r>
    </w:p>
    <w:p w:rsidR="004E0F80" w:rsidRDefault="004E0F80" w:rsidP="004E0F80">
      <w:pPr>
        <w:pStyle w:val="Literaturverzeichnis1"/>
        <w:ind w:left="397" w:hanging="397"/>
        <w:rPr>
          <w:lang w:val="de-DE"/>
        </w:rPr>
      </w:pPr>
      <w:proofErr w:type="spellStart"/>
      <w:r w:rsidRPr="004E0F80">
        <w:rPr>
          <w:lang w:val="de-DE"/>
        </w:rPr>
        <w:t>Donalies</w:t>
      </w:r>
      <w:proofErr w:type="spellEnd"/>
      <w:r>
        <w:rPr>
          <w:lang w:val="de-DE"/>
        </w:rPr>
        <w:t>,</w:t>
      </w:r>
      <w:r w:rsidRPr="004E0F80">
        <w:rPr>
          <w:lang w:val="de-DE"/>
        </w:rPr>
        <w:t xml:space="preserve"> E</w:t>
      </w:r>
      <w:r>
        <w:rPr>
          <w:lang w:val="de-DE"/>
        </w:rPr>
        <w:t>lke</w:t>
      </w:r>
      <w:r w:rsidRPr="004E0F80">
        <w:rPr>
          <w:lang w:val="de-DE"/>
        </w:rPr>
        <w:t xml:space="preserve"> (2011)</w:t>
      </w:r>
      <w:r>
        <w:rPr>
          <w:lang w:val="de-DE"/>
        </w:rPr>
        <w:t>:</w:t>
      </w:r>
      <w:r w:rsidRPr="004E0F80">
        <w:rPr>
          <w:lang w:val="de-DE"/>
        </w:rPr>
        <w:t xml:space="preserve"> Basiswissen Deutsche Wortbildung. Zweite, überarbeitete Auflage, Tübingen/Base</w:t>
      </w:r>
      <w:r>
        <w:rPr>
          <w:lang w:val="de-DE"/>
        </w:rPr>
        <w:t xml:space="preserve">l: </w:t>
      </w:r>
      <w:r w:rsidRPr="004E0F80">
        <w:rPr>
          <w:lang w:val="de-DE"/>
        </w:rPr>
        <w:t>Francke.</w:t>
      </w:r>
    </w:p>
    <w:p w:rsidR="00594942" w:rsidRPr="00594942" w:rsidRDefault="00594942" w:rsidP="00594942">
      <w:pPr>
        <w:pStyle w:val="Literaturverzeichnis1"/>
        <w:ind w:left="397" w:hanging="397"/>
        <w:rPr>
          <w:lang w:val="de-DE"/>
        </w:rPr>
      </w:pPr>
      <w:proofErr w:type="spellStart"/>
      <w:r w:rsidRPr="00594942">
        <w:rPr>
          <w:lang w:val="de-DE"/>
        </w:rPr>
        <w:t>Gärtig</w:t>
      </w:r>
      <w:proofErr w:type="spellEnd"/>
      <w:r w:rsidRPr="00594942">
        <w:rPr>
          <w:lang w:val="de-DE"/>
        </w:rPr>
        <w:t>-B</w:t>
      </w:r>
      <w:r>
        <w:rPr>
          <w:lang w:val="de-DE"/>
        </w:rPr>
        <w:t xml:space="preserve">ressan, </w:t>
      </w:r>
      <w:proofErr w:type="spellStart"/>
      <w:r>
        <w:rPr>
          <w:lang w:val="de-DE"/>
        </w:rPr>
        <w:t>Anne-Kathrin</w:t>
      </w:r>
      <w:proofErr w:type="spellEnd"/>
      <w:r>
        <w:rPr>
          <w:lang w:val="de-DE"/>
        </w:rPr>
        <w:t xml:space="preserve"> (2022): </w:t>
      </w:r>
      <w:r w:rsidRPr="00594942">
        <w:rPr>
          <w:lang w:val="de-DE"/>
        </w:rPr>
        <w:t xml:space="preserve">Verben zum Ausdruck der Modifikation von Objekten – Lexikalisierungsstrategien und Präferenzen im Deutschen und Italienischen. In: </w:t>
      </w:r>
      <w:proofErr w:type="spellStart"/>
      <w:r w:rsidRPr="00594942">
        <w:rPr>
          <w:lang w:val="de-DE"/>
        </w:rPr>
        <w:t>Rivista</w:t>
      </w:r>
      <w:proofErr w:type="spellEnd"/>
      <w:r w:rsidRPr="00594942">
        <w:rPr>
          <w:lang w:val="de-DE"/>
        </w:rPr>
        <w:t xml:space="preserve"> </w:t>
      </w:r>
      <w:proofErr w:type="spellStart"/>
      <w:r w:rsidRPr="00594942">
        <w:rPr>
          <w:lang w:val="de-DE"/>
        </w:rPr>
        <w:t>internazionale</w:t>
      </w:r>
      <w:proofErr w:type="spellEnd"/>
      <w:r w:rsidRPr="00594942">
        <w:rPr>
          <w:lang w:val="de-DE"/>
        </w:rPr>
        <w:t xml:space="preserve"> di </w:t>
      </w:r>
      <w:proofErr w:type="spellStart"/>
      <w:r w:rsidRPr="00594942">
        <w:rPr>
          <w:lang w:val="de-DE"/>
        </w:rPr>
        <w:t>tecnica</w:t>
      </w:r>
      <w:proofErr w:type="spellEnd"/>
      <w:r w:rsidRPr="00594942">
        <w:rPr>
          <w:lang w:val="de-DE"/>
        </w:rPr>
        <w:t xml:space="preserve"> della </w:t>
      </w:r>
      <w:proofErr w:type="spellStart"/>
      <w:r w:rsidRPr="00594942">
        <w:rPr>
          <w:lang w:val="de-DE"/>
        </w:rPr>
        <w:t>traduzione</w:t>
      </w:r>
      <w:proofErr w:type="spellEnd"/>
      <w:r>
        <w:rPr>
          <w:lang w:val="de-DE"/>
        </w:rPr>
        <w:t>,</w:t>
      </w:r>
      <w:r w:rsidRPr="00594942">
        <w:rPr>
          <w:lang w:val="de-DE"/>
        </w:rPr>
        <w:t xml:space="preserve"> 24, pp. 283–312.</w:t>
      </w:r>
    </w:p>
    <w:p w:rsidR="004E0F80" w:rsidRPr="00594942" w:rsidRDefault="004E0F80" w:rsidP="004E0F80">
      <w:pPr>
        <w:pStyle w:val="Literaturverzeichnis1"/>
        <w:ind w:left="397" w:hanging="397"/>
        <w:rPr>
          <w:lang w:val="de-DE"/>
        </w:rPr>
      </w:pPr>
      <w:proofErr w:type="spellStart"/>
      <w:r w:rsidRPr="004E0F80">
        <w:rPr>
          <w:lang w:val="de-DE"/>
        </w:rPr>
        <w:t>Herslund</w:t>
      </w:r>
      <w:proofErr w:type="spellEnd"/>
      <w:r>
        <w:rPr>
          <w:lang w:val="de-DE"/>
        </w:rPr>
        <w:t>,</w:t>
      </w:r>
      <w:r w:rsidRPr="004E0F80">
        <w:rPr>
          <w:lang w:val="de-DE"/>
        </w:rPr>
        <w:t xml:space="preserve"> M</w:t>
      </w:r>
      <w:r>
        <w:rPr>
          <w:lang w:val="de-DE"/>
        </w:rPr>
        <w:t>ichael</w:t>
      </w:r>
      <w:r w:rsidRPr="004E0F80">
        <w:rPr>
          <w:lang w:val="de-DE"/>
        </w:rPr>
        <w:t xml:space="preserve"> (2007)</w:t>
      </w:r>
      <w:r>
        <w:rPr>
          <w:lang w:val="de-DE"/>
        </w:rPr>
        <w:t>:</w:t>
      </w:r>
      <w:r w:rsidRPr="004E0F80">
        <w:rPr>
          <w:lang w:val="de-DE"/>
        </w:rPr>
        <w:t xml:space="preserve"> Lexikalische Typologie – Dänisch und Französisch als </w:t>
      </w:r>
      <w:proofErr w:type="spellStart"/>
      <w:r w:rsidRPr="004E0F80">
        <w:rPr>
          <w:lang w:val="de-DE"/>
        </w:rPr>
        <w:t>endo</w:t>
      </w:r>
      <w:proofErr w:type="spellEnd"/>
      <w:r w:rsidRPr="004E0F80">
        <w:rPr>
          <w:lang w:val="de-DE"/>
        </w:rPr>
        <w:t>- bzw. exozentrische Sprachen</w:t>
      </w:r>
      <w:r>
        <w:rPr>
          <w:lang w:val="de-DE"/>
        </w:rPr>
        <w:t xml:space="preserve">. </w:t>
      </w:r>
      <w:r w:rsidRPr="00594942">
        <w:rPr>
          <w:lang w:val="de-DE"/>
        </w:rPr>
        <w:t>In:</w:t>
      </w:r>
      <w:r w:rsidRPr="00594942">
        <w:rPr>
          <w:lang w:val="de-DE"/>
        </w:rPr>
        <w:t xml:space="preserve"> </w:t>
      </w:r>
      <w:proofErr w:type="spellStart"/>
      <w:r w:rsidRPr="00594942">
        <w:rPr>
          <w:lang w:val="de-DE"/>
        </w:rPr>
        <w:t>Skandinaviske</w:t>
      </w:r>
      <w:proofErr w:type="spellEnd"/>
      <w:r w:rsidRPr="00594942">
        <w:rPr>
          <w:lang w:val="de-DE"/>
        </w:rPr>
        <w:t xml:space="preserve"> </w:t>
      </w:r>
      <w:proofErr w:type="spellStart"/>
      <w:r w:rsidRPr="00594942">
        <w:rPr>
          <w:lang w:val="de-DE"/>
        </w:rPr>
        <w:t>sprogstudier</w:t>
      </w:r>
      <w:proofErr w:type="spellEnd"/>
      <w:r w:rsidRPr="00594942">
        <w:rPr>
          <w:lang w:val="de-DE"/>
        </w:rPr>
        <w:t xml:space="preserve">, 5, </w:t>
      </w:r>
      <w:r w:rsidRPr="00594942">
        <w:rPr>
          <w:lang w:val="de-DE"/>
        </w:rPr>
        <w:t xml:space="preserve">pp. </w:t>
      </w:r>
      <w:r w:rsidRPr="00594942">
        <w:rPr>
          <w:lang w:val="de-DE"/>
        </w:rPr>
        <w:t>1-13.</w:t>
      </w:r>
    </w:p>
    <w:p w:rsidR="004E0F80" w:rsidRPr="004E0F80" w:rsidRDefault="004E0F80" w:rsidP="004E0F80">
      <w:pPr>
        <w:pStyle w:val="Literaturverzeichnis1"/>
        <w:ind w:left="397" w:hanging="397"/>
        <w:rPr>
          <w:lang w:val="it-IT"/>
        </w:rPr>
      </w:pPr>
      <w:r w:rsidRPr="004E0F80">
        <w:rPr>
          <w:lang w:val="en-US"/>
        </w:rPr>
        <w:t>Korzen</w:t>
      </w:r>
      <w:r>
        <w:rPr>
          <w:lang w:val="en-US"/>
        </w:rPr>
        <w:t>,</w:t>
      </w:r>
      <w:r w:rsidRPr="004E0F80">
        <w:rPr>
          <w:lang w:val="en-US"/>
        </w:rPr>
        <w:t xml:space="preserve"> I</w:t>
      </w:r>
      <w:r>
        <w:rPr>
          <w:rFonts w:ascii="Calibri" w:hAnsi="Calibri" w:cs="Calibri"/>
          <w:lang w:val="en-US"/>
        </w:rPr>
        <w:t>ørn</w:t>
      </w:r>
      <w:r w:rsidRPr="004E0F80">
        <w:rPr>
          <w:lang w:val="en-US"/>
        </w:rPr>
        <w:t xml:space="preserve"> (2016)</w:t>
      </w:r>
      <w:r>
        <w:rPr>
          <w:lang w:val="en-US"/>
        </w:rPr>
        <w:t>:</w:t>
      </w:r>
      <w:r w:rsidRPr="004E0F80">
        <w:rPr>
          <w:lang w:val="en-US"/>
        </w:rPr>
        <w:t xml:space="preserve"> Endocentric and Exocentric Verb Typology: </w:t>
      </w:r>
      <w:proofErr w:type="spellStart"/>
      <w:r w:rsidRPr="004E0F80">
        <w:rPr>
          <w:lang w:val="en-US"/>
        </w:rPr>
        <w:t>Talmy</w:t>
      </w:r>
      <w:proofErr w:type="spellEnd"/>
      <w:r w:rsidRPr="004E0F80">
        <w:rPr>
          <w:lang w:val="en-US"/>
        </w:rPr>
        <w:t xml:space="preserve"> Revisited – on Good Grounds</w:t>
      </w:r>
      <w:r>
        <w:rPr>
          <w:lang w:val="en-US"/>
        </w:rPr>
        <w:t xml:space="preserve">. </w:t>
      </w:r>
      <w:r w:rsidRPr="004E0F80">
        <w:rPr>
          <w:lang w:val="it-IT"/>
        </w:rPr>
        <w:t>In:</w:t>
      </w:r>
      <w:r w:rsidRPr="004E0F80">
        <w:rPr>
          <w:lang w:val="it-IT"/>
        </w:rPr>
        <w:t xml:space="preserve"> Language and </w:t>
      </w:r>
      <w:proofErr w:type="spellStart"/>
      <w:r w:rsidRPr="004E0F80">
        <w:rPr>
          <w:lang w:val="it-IT"/>
        </w:rPr>
        <w:t>Cognition</w:t>
      </w:r>
      <w:proofErr w:type="spellEnd"/>
      <w:r w:rsidRPr="004E0F80">
        <w:rPr>
          <w:lang w:val="it-IT"/>
        </w:rPr>
        <w:t xml:space="preserve">, 8 (2), </w:t>
      </w:r>
      <w:r w:rsidRPr="004E0F80">
        <w:rPr>
          <w:lang w:val="it-IT"/>
        </w:rPr>
        <w:t xml:space="preserve">pp. </w:t>
      </w:r>
      <w:r w:rsidRPr="004E0F80">
        <w:rPr>
          <w:lang w:val="it-IT"/>
        </w:rPr>
        <w:t>206-236.</w:t>
      </w:r>
    </w:p>
    <w:p w:rsidR="004E0F80" w:rsidRPr="004E0F80" w:rsidRDefault="004E0F80" w:rsidP="004E0F80">
      <w:pPr>
        <w:pStyle w:val="Literaturverzeichnis1"/>
        <w:ind w:left="397" w:hanging="397"/>
        <w:rPr>
          <w:lang w:val="it-IT"/>
        </w:rPr>
      </w:pPr>
      <w:proofErr w:type="spellStart"/>
      <w:r w:rsidRPr="004E0F80">
        <w:rPr>
          <w:lang w:val="it-IT"/>
        </w:rPr>
        <w:t>Korzen</w:t>
      </w:r>
      <w:proofErr w:type="spellEnd"/>
      <w:r w:rsidRPr="004E0F80">
        <w:rPr>
          <w:lang w:val="it-IT"/>
        </w:rPr>
        <w:t xml:space="preserve">, </w:t>
      </w:r>
      <w:proofErr w:type="spellStart"/>
      <w:r w:rsidRPr="004E0F80">
        <w:rPr>
          <w:lang w:val="it-IT"/>
        </w:rPr>
        <w:t>I</w:t>
      </w:r>
      <w:r w:rsidRPr="004E0F80">
        <w:rPr>
          <w:rFonts w:ascii="Calibri" w:hAnsi="Calibri" w:cs="Calibri"/>
          <w:lang w:val="it-IT"/>
        </w:rPr>
        <w:t>ørn</w:t>
      </w:r>
      <w:proofErr w:type="spellEnd"/>
      <w:r w:rsidRPr="004E0F80">
        <w:rPr>
          <w:lang w:val="it-IT"/>
        </w:rPr>
        <w:t xml:space="preserve"> (2018)</w:t>
      </w:r>
      <w:r>
        <w:rPr>
          <w:lang w:val="it-IT"/>
        </w:rPr>
        <w:t>:</w:t>
      </w:r>
      <w:r w:rsidRPr="004E0F80">
        <w:rPr>
          <w:lang w:val="it-IT"/>
        </w:rPr>
        <w:t xml:space="preserve"> L’italiano: una lingua esocentrica. Osservazioni lessicali e testuali in un’ottica tipologico-comparativa</w:t>
      </w:r>
      <w:r>
        <w:rPr>
          <w:lang w:val="it-IT"/>
        </w:rPr>
        <w:t>. In:</w:t>
      </w:r>
      <w:r w:rsidRPr="004E0F80">
        <w:rPr>
          <w:lang w:val="it-IT"/>
        </w:rPr>
        <w:t xml:space="preserve"> </w:t>
      </w:r>
      <w:proofErr w:type="spellStart"/>
      <w:r w:rsidRPr="004E0F80">
        <w:rPr>
          <w:lang w:val="it-IT"/>
        </w:rPr>
        <w:t>Korzen</w:t>
      </w:r>
      <w:proofErr w:type="spellEnd"/>
      <w:r>
        <w:rPr>
          <w:lang w:val="it-IT"/>
        </w:rPr>
        <w:t>,</w:t>
      </w:r>
      <w:r w:rsidRPr="004E0F80">
        <w:rPr>
          <w:lang w:val="it-IT"/>
        </w:rPr>
        <w:t xml:space="preserve"> </w:t>
      </w:r>
      <w:proofErr w:type="spellStart"/>
      <w:r w:rsidRPr="004E0F80">
        <w:rPr>
          <w:lang w:val="it-IT"/>
        </w:rPr>
        <w:t>I</w:t>
      </w:r>
      <w:r w:rsidRPr="004E0F80">
        <w:rPr>
          <w:rFonts w:ascii="Calibri" w:hAnsi="Calibri" w:cs="Calibri"/>
          <w:lang w:val="it-IT"/>
        </w:rPr>
        <w:t>ørn</w:t>
      </w:r>
      <w:proofErr w:type="spellEnd"/>
      <w:r w:rsidRPr="004E0F80">
        <w:rPr>
          <w:lang w:val="it-IT"/>
        </w:rPr>
        <w:t xml:space="preserve"> (</w:t>
      </w:r>
      <w:r w:rsidR="00AC7000">
        <w:rPr>
          <w:lang w:val="it-IT"/>
        </w:rPr>
        <w:t>ed.</w:t>
      </w:r>
      <w:r w:rsidRPr="004E0F80">
        <w:rPr>
          <w:lang w:val="it-IT"/>
        </w:rPr>
        <w:t>)</w:t>
      </w:r>
      <w:r>
        <w:rPr>
          <w:lang w:val="it-IT"/>
        </w:rPr>
        <w:t>:</w:t>
      </w:r>
      <w:r w:rsidRPr="004E0F80">
        <w:rPr>
          <w:lang w:val="it-IT"/>
        </w:rPr>
        <w:t xml:space="preserve"> La linguistica italiana nei Paesi Nordici</w:t>
      </w:r>
      <w:r w:rsidR="00AC7000">
        <w:rPr>
          <w:lang w:val="it-IT"/>
        </w:rPr>
        <w:t>.</w:t>
      </w:r>
      <w:r w:rsidRPr="004E0F80">
        <w:rPr>
          <w:lang w:val="it-IT"/>
        </w:rPr>
        <w:t xml:space="preserve"> Pisa</w:t>
      </w:r>
      <w:r w:rsidR="00AC7000">
        <w:rPr>
          <w:lang w:val="it-IT"/>
        </w:rPr>
        <w:t>:</w:t>
      </w:r>
      <w:r w:rsidRPr="004E0F80">
        <w:rPr>
          <w:lang w:val="it-IT"/>
        </w:rPr>
        <w:t xml:space="preserve"> Pacini (=Studi Italiani di Linguistica Teorica e Applicata, 47 (1)), </w:t>
      </w:r>
      <w:r w:rsidR="00AC7000">
        <w:rPr>
          <w:lang w:val="it-IT"/>
        </w:rPr>
        <w:t xml:space="preserve">pp. </w:t>
      </w:r>
      <w:r w:rsidRPr="004E0F80">
        <w:rPr>
          <w:lang w:val="it-IT"/>
        </w:rPr>
        <w:t>15-36.</w:t>
      </w:r>
    </w:p>
    <w:p w:rsidR="004E0F80" w:rsidRPr="004E0F80" w:rsidRDefault="004E0F80" w:rsidP="004E0F80">
      <w:pPr>
        <w:pStyle w:val="Literaturverzeichnis1"/>
        <w:ind w:left="397" w:hanging="397"/>
        <w:rPr>
          <w:lang w:val="en-US"/>
        </w:rPr>
      </w:pPr>
      <w:r w:rsidRPr="004E0F80">
        <w:rPr>
          <w:lang w:val="it-IT"/>
        </w:rPr>
        <w:t>Moneglia</w:t>
      </w:r>
      <w:r w:rsidR="00AC7000">
        <w:rPr>
          <w:lang w:val="it-IT"/>
        </w:rPr>
        <w:t>,</w:t>
      </w:r>
      <w:r w:rsidRPr="004E0F80">
        <w:rPr>
          <w:lang w:val="it-IT"/>
        </w:rPr>
        <w:t xml:space="preserve"> M</w:t>
      </w:r>
      <w:r w:rsidR="00AC7000">
        <w:rPr>
          <w:lang w:val="it-IT"/>
        </w:rPr>
        <w:t>assimo/</w:t>
      </w:r>
      <w:r w:rsidRPr="004E0F80">
        <w:rPr>
          <w:lang w:val="it-IT"/>
        </w:rPr>
        <w:t>Panunzi</w:t>
      </w:r>
      <w:r w:rsidR="00AC7000">
        <w:rPr>
          <w:lang w:val="it-IT"/>
        </w:rPr>
        <w:t>,</w:t>
      </w:r>
      <w:r w:rsidRPr="004E0F80">
        <w:rPr>
          <w:lang w:val="it-IT"/>
        </w:rPr>
        <w:t xml:space="preserve"> A</w:t>
      </w:r>
      <w:r w:rsidR="00AC7000">
        <w:rPr>
          <w:lang w:val="it-IT"/>
        </w:rPr>
        <w:t>lessandro</w:t>
      </w:r>
      <w:r w:rsidRPr="004E0F80">
        <w:rPr>
          <w:lang w:val="it-IT"/>
        </w:rPr>
        <w:t xml:space="preserve"> (2010)</w:t>
      </w:r>
      <w:r w:rsidR="00AC7000">
        <w:rPr>
          <w:lang w:val="it-IT"/>
        </w:rPr>
        <w:t>:</w:t>
      </w:r>
      <w:r w:rsidRPr="004E0F80">
        <w:rPr>
          <w:lang w:val="it-IT"/>
        </w:rPr>
        <w:t xml:space="preserve"> I verbi generali nei corpora di parlato. Un progetto di annotazione semantica cross-linguistica</w:t>
      </w:r>
      <w:r w:rsidR="00AC7000">
        <w:rPr>
          <w:lang w:val="it-IT"/>
        </w:rPr>
        <w:t>. I</w:t>
      </w:r>
      <w:r w:rsidRPr="004E0F80">
        <w:rPr>
          <w:lang w:val="it-IT"/>
        </w:rPr>
        <w:t>n</w:t>
      </w:r>
      <w:r w:rsidR="00AC7000">
        <w:rPr>
          <w:lang w:val="it-IT"/>
        </w:rPr>
        <w:t>: Cresti, Emanuela/</w:t>
      </w:r>
      <w:r w:rsidRPr="004E0F80">
        <w:rPr>
          <w:lang w:val="it-IT"/>
        </w:rPr>
        <w:t xml:space="preserve"> E. Cresti &amp; </w:t>
      </w:r>
      <w:proofErr w:type="spellStart"/>
      <w:r w:rsidR="00AC7000" w:rsidRPr="004E0F80">
        <w:rPr>
          <w:lang w:val="it-IT"/>
        </w:rPr>
        <w:t>Korzen</w:t>
      </w:r>
      <w:proofErr w:type="spellEnd"/>
      <w:r w:rsidR="00AC7000">
        <w:rPr>
          <w:lang w:val="it-IT"/>
        </w:rPr>
        <w:t>,</w:t>
      </w:r>
      <w:r w:rsidR="00AC7000" w:rsidRPr="004E0F80">
        <w:rPr>
          <w:lang w:val="it-IT"/>
        </w:rPr>
        <w:t xml:space="preserve"> </w:t>
      </w:r>
      <w:proofErr w:type="spellStart"/>
      <w:r w:rsidR="00AC7000" w:rsidRPr="004E0F80">
        <w:rPr>
          <w:lang w:val="it-IT"/>
        </w:rPr>
        <w:t>I</w:t>
      </w:r>
      <w:r w:rsidR="00AC7000" w:rsidRPr="004E0F80">
        <w:rPr>
          <w:rFonts w:ascii="Calibri" w:hAnsi="Calibri" w:cs="Calibri"/>
          <w:lang w:val="it-IT"/>
        </w:rPr>
        <w:t>ørn</w:t>
      </w:r>
      <w:proofErr w:type="spellEnd"/>
      <w:r w:rsidR="00AC7000" w:rsidRPr="004E0F80">
        <w:rPr>
          <w:lang w:val="it-IT"/>
        </w:rPr>
        <w:t xml:space="preserve"> (</w:t>
      </w:r>
      <w:r w:rsidR="00AC7000">
        <w:rPr>
          <w:lang w:val="it-IT"/>
        </w:rPr>
        <w:t>ed.</w:t>
      </w:r>
      <w:r w:rsidR="00AC7000" w:rsidRPr="004E0F80">
        <w:rPr>
          <w:lang w:val="it-IT"/>
        </w:rPr>
        <w:t>)</w:t>
      </w:r>
      <w:r w:rsidR="00AC7000">
        <w:rPr>
          <w:lang w:val="it-IT"/>
        </w:rPr>
        <w:t>:</w:t>
      </w:r>
      <w:r w:rsidR="00AC7000" w:rsidRPr="004E0F80">
        <w:rPr>
          <w:lang w:val="it-IT"/>
        </w:rPr>
        <w:t xml:space="preserve"> </w:t>
      </w:r>
      <w:r w:rsidRPr="004E0F80">
        <w:rPr>
          <w:lang w:val="it-IT"/>
        </w:rPr>
        <w:t xml:space="preserve">Language, </w:t>
      </w:r>
      <w:proofErr w:type="spellStart"/>
      <w:r w:rsidRPr="004E0F80">
        <w:rPr>
          <w:lang w:val="it-IT"/>
        </w:rPr>
        <w:t>Cognition</w:t>
      </w:r>
      <w:proofErr w:type="spellEnd"/>
      <w:r w:rsidRPr="004E0F80">
        <w:rPr>
          <w:lang w:val="it-IT"/>
        </w:rPr>
        <w:t xml:space="preserve"> and Identity. </w:t>
      </w:r>
      <w:r w:rsidRPr="004E0F80">
        <w:rPr>
          <w:lang w:val="en-US"/>
        </w:rPr>
        <w:t>Extensions of the endocentric/exocentric language typology</w:t>
      </w:r>
      <w:r w:rsidR="00AC7000">
        <w:rPr>
          <w:lang w:val="en-US"/>
        </w:rPr>
        <w:t>.</w:t>
      </w:r>
      <w:r w:rsidRPr="004E0F80">
        <w:rPr>
          <w:lang w:val="en-US"/>
        </w:rPr>
        <w:t xml:space="preserve"> Firenze</w:t>
      </w:r>
      <w:r w:rsidR="00AC7000">
        <w:rPr>
          <w:lang w:val="en-US"/>
        </w:rPr>
        <w:t>:</w:t>
      </w:r>
      <w:r w:rsidRPr="004E0F80">
        <w:rPr>
          <w:lang w:val="en-US"/>
        </w:rPr>
        <w:t xml:space="preserve"> FUP,</w:t>
      </w:r>
      <w:r w:rsidR="00AC7000">
        <w:rPr>
          <w:lang w:val="en-US"/>
        </w:rPr>
        <w:t xml:space="preserve"> pp.</w:t>
      </w:r>
      <w:r w:rsidRPr="004E0F80">
        <w:rPr>
          <w:lang w:val="en-US"/>
        </w:rPr>
        <w:t xml:space="preserve"> 27-45.</w:t>
      </w:r>
    </w:p>
    <w:p w:rsidR="004E0F80" w:rsidRPr="004E0F80" w:rsidRDefault="004E0F80" w:rsidP="004E0F80">
      <w:pPr>
        <w:pStyle w:val="Literaturverzeichnis1"/>
        <w:ind w:left="397" w:hanging="397"/>
        <w:rPr>
          <w:lang w:val="en-US"/>
        </w:rPr>
      </w:pPr>
      <w:r w:rsidRPr="004E0F80">
        <w:rPr>
          <w:lang w:val="en-US"/>
        </w:rPr>
        <w:t>Slobin</w:t>
      </w:r>
      <w:r w:rsidR="00AC7000">
        <w:rPr>
          <w:lang w:val="en-US"/>
        </w:rPr>
        <w:t>,</w:t>
      </w:r>
      <w:r w:rsidRPr="004E0F80">
        <w:rPr>
          <w:lang w:val="en-US"/>
        </w:rPr>
        <w:t xml:space="preserve"> D</w:t>
      </w:r>
      <w:r w:rsidR="00AC7000">
        <w:rPr>
          <w:lang w:val="en-US"/>
        </w:rPr>
        <w:t>an</w:t>
      </w:r>
      <w:r w:rsidRPr="004E0F80">
        <w:rPr>
          <w:lang w:val="en-US"/>
        </w:rPr>
        <w:t xml:space="preserve"> I. (2004)</w:t>
      </w:r>
      <w:r w:rsidR="00AC7000">
        <w:rPr>
          <w:lang w:val="en-US"/>
        </w:rPr>
        <w:t>:</w:t>
      </w:r>
      <w:r w:rsidRPr="004E0F80">
        <w:rPr>
          <w:lang w:val="en-US"/>
        </w:rPr>
        <w:t xml:space="preserve"> The many ways to search for a frog: Linguistic typology and the expression of motion events</w:t>
      </w:r>
      <w:r w:rsidR="00AC7000">
        <w:rPr>
          <w:lang w:val="en-US"/>
        </w:rPr>
        <w:t>. I</w:t>
      </w:r>
      <w:r w:rsidRPr="004E0F80">
        <w:rPr>
          <w:lang w:val="en-US"/>
        </w:rPr>
        <w:t>n</w:t>
      </w:r>
      <w:r w:rsidR="00AC7000">
        <w:rPr>
          <w:lang w:val="en-US"/>
        </w:rPr>
        <w:t>:</w:t>
      </w:r>
      <w:r w:rsidRPr="004E0F80">
        <w:rPr>
          <w:lang w:val="en-US"/>
        </w:rPr>
        <w:t xml:space="preserve"> </w:t>
      </w:r>
      <w:proofErr w:type="spellStart"/>
      <w:r w:rsidRPr="004E0F80">
        <w:rPr>
          <w:lang w:val="en-US"/>
        </w:rPr>
        <w:t>Strömqvist</w:t>
      </w:r>
      <w:proofErr w:type="spellEnd"/>
      <w:r w:rsidR="00AC7000">
        <w:rPr>
          <w:lang w:val="en-US"/>
        </w:rPr>
        <w:t>, Sven/</w:t>
      </w:r>
      <w:r w:rsidRPr="004E0F80">
        <w:rPr>
          <w:lang w:val="en-US"/>
        </w:rPr>
        <w:t>Verhoeven</w:t>
      </w:r>
      <w:r w:rsidR="00AC7000">
        <w:rPr>
          <w:lang w:val="en-US"/>
        </w:rPr>
        <w:t>, Ludo</w:t>
      </w:r>
      <w:r w:rsidRPr="004E0F80">
        <w:rPr>
          <w:lang w:val="en-US"/>
        </w:rPr>
        <w:t xml:space="preserve"> (eds.)</w:t>
      </w:r>
      <w:r w:rsidR="00AC7000">
        <w:rPr>
          <w:lang w:val="en-US"/>
        </w:rPr>
        <w:t>:</w:t>
      </w:r>
      <w:r w:rsidRPr="004E0F80">
        <w:rPr>
          <w:lang w:val="en-US"/>
        </w:rPr>
        <w:t xml:space="preserve"> Relating events in narrative: Typological and contextual perspectives</w:t>
      </w:r>
      <w:r w:rsidR="00AC7000">
        <w:rPr>
          <w:lang w:val="en-US"/>
        </w:rPr>
        <w:t>.</w:t>
      </w:r>
      <w:r w:rsidRPr="004E0F80">
        <w:rPr>
          <w:lang w:val="en-US"/>
        </w:rPr>
        <w:t xml:space="preserve"> Mahwah, NJ</w:t>
      </w:r>
      <w:r w:rsidR="00AC7000">
        <w:rPr>
          <w:lang w:val="en-US"/>
        </w:rPr>
        <w:t>:</w:t>
      </w:r>
      <w:r w:rsidRPr="004E0F80">
        <w:rPr>
          <w:lang w:val="en-US"/>
        </w:rPr>
        <w:t xml:space="preserve"> Lawrence Erlbaum Associates, </w:t>
      </w:r>
      <w:r w:rsidR="00AC7000">
        <w:rPr>
          <w:lang w:val="en-US"/>
        </w:rPr>
        <w:t xml:space="preserve">pp. </w:t>
      </w:r>
      <w:r w:rsidRPr="004E0F80">
        <w:rPr>
          <w:lang w:val="en-US"/>
        </w:rPr>
        <w:t>219-257.</w:t>
      </w:r>
    </w:p>
    <w:p w:rsidR="004E0F80" w:rsidRPr="004E0F80" w:rsidRDefault="004E0F80" w:rsidP="004E0F80">
      <w:pPr>
        <w:pStyle w:val="Literaturverzeichnis1"/>
        <w:ind w:left="397" w:hanging="397"/>
        <w:rPr>
          <w:lang w:val="en-US"/>
        </w:rPr>
      </w:pPr>
      <w:proofErr w:type="spellStart"/>
      <w:r w:rsidRPr="004E0F80">
        <w:rPr>
          <w:lang w:val="en-US"/>
        </w:rPr>
        <w:t>Talmy</w:t>
      </w:r>
      <w:proofErr w:type="spellEnd"/>
      <w:r w:rsidR="00AC7000">
        <w:rPr>
          <w:lang w:val="en-US"/>
        </w:rPr>
        <w:t>,</w:t>
      </w:r>
      <w:r w:rsidRPr="004E0F80">
        <w:rPr>
          <w:lang w:val="en-US"/>
        </w:rPr>
        <w:t xml:space="preserve"> L</w:t>
      </w:r>
      <w:r w:rsidR="00AC7000">
        <w:rPr>
          <w:lang w:val="en-US"/>
        </w:rPr>
        <w:t>eonard</w:t>
      </w:r>
      <w:r w:rsidRPr="004E0F80">
        <w:rPr>
          <w:lang w:val="en-US"/>
        </w:rPr>
        <w:t xml:space="preserve"> (1985)</w:t>
      </w:r>
      <w:r w:rsidR="00AC7000">
        <w:rPr>
          <w:lang w:val="en-US"/>
        </w:rPr>
        <w:t>:</w:t>
      </w:r>
      <w:r w:rsidRPr="004E0F80">
        <w:rPr>
          <w:lang w:val="en-US"/>
        </w:rPr>
        <w:t xml:space="preserve"> Lexicalization Patterns: Semantic Structure in Lexical Forms</w:t>
      </w:r>
      <w:r w:rsidR="00AC7000">
        <w:rPr>
          <w:lang w:val="en-US"/>
        </w:rPr>
        <w:t>. I</w:t>
      </w:r>
      <w:r w:rsidRPr="004E0F80">
        <w:rPr>
          <w:lang w:val="en-US"/>
        </w:rPr>
        <w:t>n</w:t>
      </w:r>
      <w:r w:rsidR="00AC7000">
        <w:rPr>
          <w:lang w:val="en-US"/>
        </w:rPr>
        <w:t>:</w:t>
      </w:r>
      <w:r w:rsidRPr="004E0F80">
        <w:rPr>
          <w:lang w:val="en-US"/>
        </w:rPr>
        <w:t xml:space="preserve"> Shopen,</w:t>
      </w:r>
      <w:r w:rsidR="00AC7000">
        <w:rPr>
          <w:lang w:val="en-US"/>
        </w:rPr>
        <w:t xml:space="preserve"> Timothy</w:t>
      </w:r>
      <w:r w:rsidRPr="004E0F80">
        <w:rPr>
          <w:lang w:val="en-US"/>
        </w:rPr>
        <w:t xml:space="preserve"> (ed.)</w:t>
      </w:r>
      <w:r w:rsidR="00AC7000">
        <w:rPr>
          <w:lang w:val="en-US"/>
        </w:rPr>
        <w:t>:</w:t>
      </w:r>
      <w:r w:rsidRPr="004E0F80">
        <w:rPr>
          <w:lang w:val="en-US"/>
        </w:rPr>
        <w:t xml:space="preserve"> Language Typology and Syntactic Description</w:t>
      </w:r>
      <w:r w:rsidR="00AC7000">
        <w:rPr>
          <w:lang w:val="en-US"/>
        </w:rPr>
        <w:t>.</w:t>
      </w:r>
      <w:r w:rsidRPr="004E0F80">
        <w:rPr>
          <w:lang w:val="en-US"/>
        </w:rPr>
        <w:t xml:space="preserve"> Cambridge</w:t>
      </w:r>
      <w:r w:rsidR="00AC7000">
        <w:rPr>
          <w:lang w:val="en-US"/>
        </w:rPr>
        <w:t>:</w:t>
      </w:r>
      <w:r w:rsidRPr="004E0F80">
        <w:rPr>
          <w:lang w:val="en-US"/>
        </w:rPr>
        <w:t xml:space="preserve"> The University Press, vol. III, </w:t>
      </w:r>
      <w:r w:rsidR="00AC7000">
        <w:rPr>
          <w:lang w:val="en-US"/>
        </w:rPr>
        <w:t xml:space="preserve">pp. </w:t>
      </w:r>
      <w:r w:rsidRPr="004E0F80">
        <w:rPr>
          <w:lang w:val="en-US"/>
        </w:rPr>
        <w:t>57-149.</w:t>
      </w:r>
    </w:p>
    <w:p w:rsidR="004E0F80" w:rsidRPr="004E0F80" w:rsidRDefault="00AC7000" w:rsidP="004E0F80">
      <w:pPr>
        <w:pStyle w:val="Literaturverzeichnis1"/>
        <w:ind w:left="397" w:hanging="397"/>
        <w:rPr>
          <w:lang w:val="en-US"/>
        </w:rPr>
      </w:pPr>
      <w:proofErr w:type="spellStart"/>
      <w:r w:rsidRPr="004E0F80">
        <w:rPr>
          <w:lang w:val="en-US"/>
        </w:rPr>
        <w:t>Talmy</w:t>
      </w:r>
      <w:proofErr w:type="spellEnd"/>
      <w:r>
        <w:rPr>
          <w:lang w:val="en-US"/>
        </w:rPr>
        <w:t>,</w:t>
      </w:r>
      <w:r w:rsidRPr="004E0F80">
        <w:rPr>
          <w:lang w:val="en-US"/>
        </w:rPr>
        <w:t xml:space="preserve"> L</w:t>
      </w:r>
      <w:r>
        <w:rPr>
          <w:lang w:val="en-US"/>
        </w:rPr>
        <w:t>eonard</w:t>
      </w:r>
      <w:r w:rsidRPr="004E0F80">
        <w:rPr>
          <w:lang w:val="en-US"/>
        </w:rPr>
        <w:t xml:space="preserve"> </w:t>
      </w:r>
      <w:r w:rsidR="004E0F80" w:rsidRPr="004E0F80">
        <w:rPr>
          <w:lang w:val="en-US"/>
        </w:rPr>
        <w:t>(2000)</w:t>
      </w:r>
      <w:r>
        <w:rPr>
          <w:lang w:val="en-US"/>
        </w:rPr>
        <w:t>:</w:t>
      </w:r>
      <w:r w:rsidR="004E0F80" w:rsidRPr="004E0F80">
        <w:rPr>
          <w:lang w:val="en-US"/>
        </w:rPr>
        <w:t xml:space="preserve"> Toward a Cognitive Semantics</w:t>
      </w:r>
      <w:r>
        <w:rPr>
          <w:lang w:val="en-US"/>
        </w:rPr>
        <w:t>. V</w:t>
      </w:r>
      <w:r w:rsidR="004E0F80" w:rsidRPr="004E0F80">
        <w:rPr>
          <w:lang w:val="en-US"/>
        </w:rPr>
        <w:t>ol. 2, Typology and process in concept structuring, Cambridge, Mass./London</w:t>
      </w:r>
      <w:r>
        <w:rPr>
          <w:lang w:val="en-US"/>
        </w:rPr>
        <w:t xml:space="preserve">: </w:t>
      </w:r>
      <w:r w:rsidR="004E0F80" w:rsidRPr="004E0F80">
        <w:rPr>
          <w:lang w:val="en-US"/>
        </w:rPr>
        <w:t>The MIT Press.</w:t>
      </w:r>
    </w:p>
    <w:p w:rsidR="00AB181E" w:rsidRPr="0072137D" w:rsidRDefault="00224AA6">
      <w:pPr>
        <w:pStyle w:val="berschrift1"/>
        <w:rPr>
          <w:lang w:val="de-DE"/>
        </w:rPr>
      </w:pPr>
      <w:r w:rsidRPr="0072137D">
        <w:rPr>
          <w:lang w:val="de-DE"/>
        </w:rPr>
        <w:t xml:space="preserve">Contact </w:t>
      </w:r>
      <w:proofErr w:type="spellStart"/>
      <w:r w:rsidRPr="0072137D">
        <w:rPr>
          <w:lang w:val="de-DE"/>
        </w:rPr>
        <w:t>information</w:t>
      </w:r>
      <w:proofErr w:type="spellEnd"/>
    </w:p>
    <w:p w:rsidR="00AB181E" w:rsidRPr="0072137D" w:rsidRDefault="0072137D">
      <w:pPr>
        <w:rPr>
          <w:lang w:val="de-DE"/>
        </w:rPr>
      </w:pPr>
      <w:proofErr w:type="spellStart"/>
      <w:r w:rsidRPr="0072137D">
        <w:rPr>
          <w:rStyle w:val="Fett"/>
          <w:lang w:val="de-DE"/>
        </w:rPr>
        <w:t>Anne-Kathrin</w:t>
      </w:r>
      <w:proofErr w:type="spellEnd"/>
      <w:r w:rsidRPr="0072137D">
        <w:rPr>
          <w:rStyle w:val="Fett"/>
          <w:lang w:val="de-DE"/>
        </w:rPr>
        <w:t xml:space="preserve"> </w:t>
      </w:r>
      <w:proofErr w:type="spellStart"/>
      <w:r w:rsidRPr="0072137D">
        <w:rPr>
          <w:rStyle w:val="Fett"/>
          <w:lang w:val="de-DE"/>
        </w:rPr>
        <w:t>Gärtig</w:t>
      </w:r>
      <w:proofErr w:type="spellEnd"/>
      <w:r w:rsidRPr="0072137D">
        <w:rPr>
          <w:rStyle w:val="Fett"/>
          <w:lang w:val="de-DE"/>
        </w:rPr>
        <w:t>-B</w:t>
      </w:r>
      <w:r>
        <w:rPr>
          <w:rStyle w:val="Fett"/>
          <w:lang w:val="de-DE"/>
        </w:rPr>
        <w:t>ressan</w:t>
      </w:r>
    </w:p>
    <w:p w:rsidR="00AB181E" w:rsidRDefault="0072137D">
      <w:pPr>
        <w:rPr>
          <w:lang w:val="it-IT"/>
        </w:rPr>
      </w:pPr>
      <w:r w:rsidRPr="0072137D">
        <w:rPr>
          <w:lang w:val="it-IT"/>
        </w:rPr>
        <w:t>Università degli Studi di T</w:t>
      </w:r>
      <w:r>
        <w:rPr>
          <w:lang w:val="it-IT"/>
        </w:rPr>
        <w:t>rieste</w:t>
      </w:r>
    </w:p>
    <w:p w:rsidR="0072137D" w:rsidRPr="0072137D" w:rsidRDefault="0072137D">
      <w:pPr>
        <w:rPr>
          <w:lang w:val="it-IT"/>
        </w:rPr>
      </w:pPr>
      <w:r w:rsidRPr="0072137D">
        <w:rPr>
          <w:lang w:val="it-IT"/>
        </w:rPr>
        <w:t>Dipartimento di Scienze Giuridiche, del Linguaggio, dell’Interpretazione e della Traduzione</w:t>
      </w:r>
    </w:p>
    <w:p w:rsidR="00AB181E" w:rsidRPr="0072137D" w:rsidRDefault="0072137D">
      <w:pPr>
        <w:rPr>
          <w:lang w:val="de-DE"/>
        </w:rPr>
      </w:pPr>
      <w:hyperlink r:id="rId16" w:history="1">
        <w:r w:rsidRPr="00873B56">
          <w:rPr>
            <w:rStyle w:val="Hyperlink"/>
            <w:lang w:val="de-DE"/>
          </w:rPr>
          <w:t>akgaertig@units.it</w:t>
        </w:r>
      </w:hyperlink>
    </w:p>
    <w:p w:rsidR="00AB181E" w:rsidRPr="0072137D" w:rsidRDefault="00AB181E">
      <w:pPr>
        <w:pStyle w:val="Literaturverzeichnis1"/>
        <w:ind w:left="0" w:firstLine="0"/>
        <w:rPr>
          <w:lang w:val="it-IT"/>
        </w:rPr>
      </w:pPr>
    </w:p>
    <w:sectPr w:rsidR="00AB181E" w:rsidRPr="0072137D">
      <w:footerReference w:type="default" r:id="rId17"/>
      <w:pgSz w:w="11906" w:h="16838"/>
      <w:pgMar w:top="1814" w:right="1871" w:bottom="2155" w:left="1871" w:header="1134" w:footer="1134"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E75BE" w:rsidRDefault="00FE75BE">
      <w:pPr>
        <w:spacing w:before="0" w:line="240" w:lineRule="auto"/>
      </w:pPr>
      <w:r>
        <w:separator/>
      </w:r>
    </w:p>
  </w:endnote>
  <w:endnote w:type="continuationSeparator" w:id="0">
    <w:p w:rsidR="00FE75BE" w:rsidRDefault="00FE75BE">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05A381F8-C871-45E1-95F9-75B4FD954895}"/>
    <w:embedBold r:id="rId2" w:fontKey="{B7484FCC-DE36-46C1-883E-A6CB63B777CB}"/>
    <w:embedItalic r:id="rId3" w:fontKey="{CD6D0344-E909-46B1-890D-79FEDAB6330B}"/>
  </w:font>
  <w:font w:name="Tahoma">
    <w:panose1 w:val="020B0604030504040204"/>
    <w:charset w:val="00"/>
    <w:family w:val="swiss"/>
    <w:pitch w:val="variable"/>
    <w:sig w:usb0="E1002EFF" w:usb1="C000605B" w:usb2="00000029" w:usb3="00000000" w:csb0="000101FF" w:csb1="00000000"/>
    <w:embedRegular r:id="rId4" w:fontKey="{261E7E55-A3B2-4346-8B82-48C142675A80}"/>
    <w:embedBold r:id="rId5" w:fontKey="{787FF74B-CE04-4995-B829-E639CB72EF22}"/>
    <w:embedItalic r:id="rId6" w:fontKey="{C80DB53A-D8D4-4949-992A-1A40298E52C4}"/>
  </w:font>
  <w:font w:name="Libertinus Serif">
    <w:altName w:val="Calibri"/>
    <w:panose1 w:val="00000000000000000000"/>
    <w:charset w:val="00"/>
    <w:family w:val="modern"/>
    <w:notTrueType/>
    <w:pitch w:val="variable"/>
    <w:sig w:usb0="E0000AFF" w:usb1="0200E5FB" w:usb2="01000020" w:usb3="00000000" w:csb0="000001BF" w:csb1="00000000"/>
  </w:font>
  <w:font w:name="Fira Sans">
    <w:charset w:val="00"/>
    <w:family w:val="swiss"/>
    <w:pitch w:val="variable"/>
    <w:sig w:usb0="600002FF" w:usb1="00000001" w:usb2="00000000" w:usb3="00000000" w:csb0="0000019F" w:csb1="00000000"/>
    <w:embedRegular r:id="rId7" w:fontKey="{EC27621C-E08E-4A95-93FE-D4537B28121B}"/>
    <w:embedBold r:id="rId8" w:fontKey="{4200C049-5B81-435F-AE97-06AA52C00465}"/>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0"/>
    <w:family w:val="auto"/>
    <w:pitch w:val="variable"/>
    <w:sig w:usb0="800000AF" w:usb1="1001ECEA" w:usb2="00000000" w:usb3="00000000" w:csb0="80000001" w:csb1="00000000"/>
    <w:embedRegular r:id="rId9" w:fontKey="{73F9FF14-2BBA-4E62-AF2E-15A1DF3EF6DA}"/>
  </w:font>
  <w:font w:name="Liberation Sans">
    <w:altName w:val="Arial"/>
    <w:charset w:val="00"/>
    <w:family w:val="swiss"/>
    <w:pitch w:val="variable"/>
    <w:sig w:usb0="E0000AFF" w:usb1="500078FF" w:usb2="00000021" w:usb3="00000000" w:csb0="000001BF" w:csb1="00000000"/>
    <w:embedBold r:id="rId10" w:fontKey="{B1CA98B6-3F34-4E04-8C9E-28DF471C6B27}"/>
  </w:font>
  <w:font w:name="Noto Sans CJK SC">
    <w:panose1 w:val="00000000000000000000"/>
    <w:charset w:val="00"/>
    <w:family w:val="roman"/>
    <w:notTrueType/>
    <w:pitch w:val="default"/>
  </w:font>
  <w:font w:name="Droid Sans Devanagari">
    <w:altName w:val="Times New Roman"/>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11" w:fontKey="{5A4351CE-4784-462B-ACF8-88BD5FCBC9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B181E" w:rsidRDefault="00224AA6" w:rsidP="00694682">
    <w:pPr>
      <w:pStyle w:val="Fuzeile"/>
      <w:jc w:val="right"/>
    </w:pPr>
    <w:r>
      <w:rPr>
        <w:rStyle w:val="Seitenzahl"/>
        <w:rFonts w:cs="Libertinus Serif"/>
      </w:rPr>
      <w:fldChar w:fldCharType="begin"/>
    </w:r>
    <w:r>
      <w:rPr>
        <w:rStyle w:val="Seitenzahl"/>
        <w:rFonts w:cs="Libertinus Serif"/>
      </w:rPr>
      <w:instrText xml:space="preserve"> PAGE </w:instrText>
    </w:r>
    <w:r>
      <w:rPr>
        <w:rStyle w:val="Seitenzahl"/>
        <w:rFonts w:cs="Libertinus Serif"/>
      </w:rPr>
      <w:fldChar w:fldCharType="separate"/>
    </w:r>
    <w:r w:rsidR="004C5262">
      <w:rPr>
        <w:rStyle w:val="Seitenzahl"/>
        <w:rFonts w:cs="Libertinus Serif"/>
        <w:noProof/>
      </w:rPr>
      <w:t>3</w:t>
    </w:r>
    <w:r>
      <w:rPr>
        <w:rStyle w:val="Seitenzahl"/>
        <w:rFonts w:cs="Libertinus Serif"/>
      </w:rPr>
      <w:fldChar w:fldCharType="end"/>
    </w:r>
  </w:p>
  <w:p w:rsidR="00AB181E" w:rsidRDefault="00AB181E">
    <w:pPr>
      <w:pStyle w:val="Fuzeile"/>
    </w:pPr>
  </w:p>
  <w:p w:rsidR="00AB181E" w:rsidRDefault="00AB18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E75BE" w:rsidRDefault="00FE75BE">
      <w:pPr>
        <w:rPr>
          <w:sz w:val="12"/>
        </w:rPr>
      </w:pPr>
      <w:r>
        <w:separator/>
      </w:r>
    </w:p>
  </w:footnote>
  <w:footnote w:type="continuationSeparator" w:id="0">
    <w:p w:rsidR="00FE75BE" w:rsidRDefault="00FE75BE">
      <w:pPr>
        <w:rPr>
          <w:sz w:val="12"/>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33A14"/>
    <w:multiLevelType w:val="multilevel"/>
    <w:tmpl w:val="B198A204"/>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 w15:restartNumberingAfterBreak="0">
    <w:nsid w:val="08CE7DAE"/>
    <w:multiLevelType w:val="multilevel"/>
    <w:tmpl w:val="8B06C76A"/>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 w15:restartNumberingAfterBreak="0">
    <w:nsid w:val="26C33E57"/>
    <w:multiLevelType w:val="multilevel"/>
    <w:tmpl w:val="E422A204"/>
    <w:lvl w:ilvl="0">
      <w:start w:val="1"/>
      <w:numFmt w:val="decimal"/>
      <w:pStyle w:val="Example"/>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num w:numId="1" w16cid:durableId="937982437">
    <w:abstractNumId w:val="0"/>
  </w:num>
  <w:num w:numId="2" w16cid:durableId="637489808">
    <w:abstractNumId w:val="1"/>
  </w:num>
  <w:num w:numId="3" w16cid:durableId="18263173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81E"/>
    <w:rsid w:val="000F11EC"/>
    <w:rsid w:val="00224AA6"/>
    <w:rsid w:val="00227F60"/>
    <w:rsid w:val="004C5262"/>
    <w:rsid w:val="004E0F80"/>
    <w:rsid w:val="00594942"/>
    <w:rsid w:val="00694682"/>
    <w:rsid w:val="00717483"/>
    <w:rsid w:val="0072137D"/>
    <w:rsid w:val="009D4AD9"/>
    <w:rsid w:val="00A54BA3"/>
    <w:rsid w:val="00AB181E"/>
    <w:rsid w:val="00AC7000"/>
    <w:rsid w:val="00B22F8E"/>
    <w:rsid w:val="00C407CB"/>
    <w:rsid w:val="00C425D1"/>
    <w:rsid w:val="00C47C6B"/>
    <w:rsid w:val="00DB1137"/>
    <w:rsid w:val="00F47A0D"/>
    <w:rsid w:val="00FE75BE"/>
    <w:rsid w:val="00FF30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4FD012"/>
  <w15:docId w15:val="{A5C6F58D-BA9C-4292-B2A5-AAC74F65C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ahoma"/>
        <w:sz w:val="22"/>
        <w:szCs w:val="22"/>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val="0"/>
      <w:spacing w:before="113" w:line="280" w:lineRule="exact"/>
      <w:jc w:val="both"/>
    </w:pPr>
    <w:rPr>
      <w:rFonts w:ascii="Libertinus Serif" w:hAnsi="Libertinus Serif"/>
    </w:rPr>
  </w:style>
  <w:style w:type="paragraph" w:styleId="berschrift1">
    <w:name w:val="heading 1"/>
    <w:basedOn w:val="Standard"/>
    <w:next w:val="Standard"/>
    <w:link w:val="berschrift1Zchn"/>
    <w:qFormat/>
    <w:pPr>
      <w:keepNext/>
      <w:keepLines/>
      <w:spacing w:before="340" w:after="113" w:line="360" w:lineRule="exact"/>
      <w:outlineLvl w:val="0"/>
    </w:pPr>
    <w:rPr>
      <w:rFonts w:ascii="Fira Sans" w:hAnsi="Fira Sans"/>
      <w:b/>
      <w:color w:val="4FAF4A"/>
      <w:sz w:val="28"/>
      <w:szCs w:val="32"/>
    </w:rPr>
  </w:style>
  <w:style w:type="paragraph" w:styleId="berschrift2">
    <w:name w:val="heading 2"/>
    <w:basedOn w:val="Standard"/>
    <w:next w:val="Standard"/>
    <w:link w:val="berschrift2Zchn"/>
    <w:qFormat/>
    <w:pPr>
      <w:keepNext/>
      <w:keepLines/>
      <w:spacing w:before="340" w:after="113" w:line="340" w:lineRule="exact"/>
      <w:outlineLvl w:val="1"/>
    </w:pPr>
    <w:rPr>
      <w:rFonts w:ascii="Fira Sans" w:hAnsi="Fira Sans"/>
      <w:b/>
      <w:color w:val="4FAF4A"/>
      <w:sz w:val="26"/>
      <w:szCs w:val="26"/>
    </w:rPr>
  </w:style>
  <w:style w:type="paragraph" w:styleId="berschrift3">
    <w:name w:val="heading 3"/>
    <w:basedOn w:val="Standard"/>
    <w:next w:val="Standard"/>
    <w:link w:val="berschrift3Zchn"/>
    <w:qFormat/>
    <w:pPr>
      <w:keepNext/>
      <w:keepLines/>
      <w:spacing w:before="227" w:after="113" w:line="320" w:lineRule="exact"/>
      <w:outlineLvl w:val="2"/>
    </w:pPr>
    <w:rPr>
      <w:rFonts w:ascii="Fira Sans" w:hAnsi="Fira Sans"/>
      <w:color w:val="4FAF4A"/>
      <w:sz w:val="24"/>
      <w:szCs w:val="24"/>
    </w:rPr>
  </w:style>
  <w:style w:type="paragraph" w:styleId="berschrift4">
    <w:name w:val="heading 4"/>
    <w:basedOn w:val="Standard"/>
    <w:next w:val="Standard"/>
    <w:link w:val="berschrift4Zchn"/>
    <w:qFormat/>
    <w:pPr>
      <w:keepNext/>
      <w:keepLines/>
      <w:spacing w:before="227"/>
      <w:outlineLvl w:val="3"/>
    </w:pPr>
    <w:rPr>
      <w:rFonts w:ascii="Fira Sans" w:hAnsi="Fira Sans"/>
      <w:iCs/>
      <w:color w:val="4FAF4A"/>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qFormat/>
    <w:rPr>
      <w:rFonts w:ascii="Fira Sans" w:eastAsia="Calibri" w:hAnsi="Fira Sans" w:cs="Tahoma"/>
      <w:b/>
      <w:color w:val="F79646"/>
      <w:sz w:val="28"/>
      <w:szCs w:val="32"/>
    </w:rPr>
  </w:style>
  <w:style w:type="character" w:customStyle="1" w:styleId="berschrift2Zchn">
    <w:name w:val="Überschrift 2 Zchn"/>
    <w:basedOn w:val="Absatz-Standardschriftart"/>
    <w:link w:val="berschrift2"/>
    <w:qFormat/>
    <w:rPr>
      <w:rFonts w:ascii="Fira Sans" w:eastAsia="Calibri" w:hAnsi="Fira Sans" w:cs="Tahoma"/>
      <w:b/>
      <w:color w:val="F79646"/>
      <w:sz w:val="26"/>
      <w:szCs w:val="26"/>
    </w:rPr>
  </w:style>
  <w:style w:type="character" w:customStyle="1" w:styleId="berschrift3Zchn">
    <w:name w:val="Überschrift 3 Zchn"/>
    <w:basedOn w:val="Absatz-Standardschriftart"/>
    <w:link w:val="berschrift3"/>
    <w:qFormat/>
    <w:rPr>
      <w:rFonts w:ascii="Fira Sans" w:eastAsia="Calibri" w:hAnsi="Fira Sans" w:cs="Tahoma"/>
      <w:color w:val="F79646"/>
      <w:sz w:val="24"/>
      <w:szCs w:val="24"/>
    </w:rPr>
  </w:style>
  <w:style w:type="character" w:customStyle="1" w:styleId="berschrift4Zchn">
    <w:name w:val="Überschrift 4 Zchn"/>
    <w:basedOn w:val="Absatz-Standardschriftart"/>
    <w:link w:val="berschrift4"/>
    <w:qFormat/>
    <w:rPr>
      <w:rFonts w:ascii="Fira Sans" w:eastAsia="Calibri" w:hAnsi="Fira Sans" w:cs="Tahoma"/>
      <w:iCs/>
      <w:color w:val="F79646"/>
    </w:rPr>
  </w:style>
  <w:style w:type="character" w:customStyle="1" w:styleId="TitelZchn">
    <w:name w:val="Titel Zchn"/>
    <w:basedOn w:val="Absatz-Standardschriftart"/>
    <w:link w:val="Titel"/>
    <w:qFormat/>
    <w:rsid w:val="00227F60"/>
    <w:rPr>
      <w:rFonts w:ascii="Fira Sans" w:hAnsi="Fira Sans"/>
      <w:b/>
      <w:color w:val="4FAF4A"/>
      <w:sz w:val="38"/>
      <w:szCs w:val="56"/>
    </w:rPr>
  </w:style>
  <w:style w:type="character" w:styleId="Fett">
    <w:name w:val="Strong"/>
    <w:basedOn w:val="Absatz-Standardschriftart"/>
    <w:qFormat/>
    <w:rPr>
      <w:b/>
      <w:bCs/>
    </w:rPr>
  </w:style>
  <w:style w:type="character" w:styleId="Hervorhebung">
    <w:name w:val="Emphasis"/>
    <w:basedOn w:val="Absatz-Standardschriftart"/>
    <w:qFormat/>
    <w:rPr>
      <w:i/>
      <w:iCs/>
    </w:rPr>
  </w:style>
  <w:style w:type="character" w:styleId="IntensiveHervorhebung">
    <w:name w:val="Intense Emphasis"/>
    <w:basedOn w:val="Absatz-Standardschriftart"/>
    <w:qFormat/>
    <w:rPr>
      <w:rFonts w:ascii="Libertinus Serif" w:hAnsi="Libertinus Serif"/>
      <w:b/>
      <w:bCs/>
      <w:i/>
      <w:iCs/>
      <w:color w:val="auto"/>
    </w:rPr>
  </w:style>
  <w:style w:type="character" w:customStyle="1" w:styleId="ZitatZchn">
    <w:name w:val="Zitat Zchn"/>
    <w:basedOn w:val="Absatz-Standardschriftart"/>
    <w:link w:val="Zitat"/>
    <w:qFormat/>
    <w:rPr>
      <w:rFonts w:ascii="Libertinus Serif" w:hAnsi="Libertinus Serif"/>
      <w:iCs/>
      <w:sz w:val="20"/>
    </w:rPr>
  </w:style>
  <w:style w:type="character" w:customStyle="1" w:styleId="UntertitelZchn">
    <w:name w:val="Untertitel Zchn"/>
    <w:basedOn w:val="Absatz-Standardschriftart"/>
    <w:link w:val="Untertitel"/>
    <w:qFormat/>
    <w:rsid w:val="004C5262"/>
    <w:rPr>
      <w:rFonts w:ascii="Fira Sans" w:hAnsi="Fira Sans"/>
      <w:b/>
      <w:color w:val="5A5A5A"/>
      <w:spacing w:val="16"/>
      <w:sz w:val="28"/>
    </w:rPr>
  </w:style>
  <w:style w:type="character" w:customStyle="1" w:styleId="KopfzeileZchn">
    <w:name w:val="Kopfzeile Zchn"/>
    <w:basedOn w:val="Absatz-Standardschriftart"/>
    <w:link w:val="Kopfzeile"/>
    <w:qFormat/>
    <w:rPr>
      <w:rFonts w:ascii="Times New Roman" w:hAnsi="Times New Roman"/>
      <w:sz w:val="24"/>
    </w:rPr>
  </w:style>
  <w:style w:type="character" w:customStyle="1" w:styleId="FuzeileZchn">
    <w:name w:val="Fußzeile Zchn"/>
    <w:basedOn w:val="Absatz-Standardschriftart"/>
    <w:link w:val="Fuzeile"/>
    <w:qFormat/>
    <w:rPr>
      <w:rFonts w:ascii="Times New Roman" w:hAnsi="Times New Roman"/>
      <w:sz w:val="24"/>
    </w:rPr>
  </w:style>
  <w:style w:type="character" w:customStyle="1" w:styleId="Funotenzeichen-Text">
    <w:name w:val="Fußnotenzeichen-Text"/>
    <w:qFormat/>
    <w:rPr>
      <w:vertAlign w:val="superscript"/>
    </w:rPr>
  </w:style>
  <w:style w:type="character" w:styleId="Hyperlink">
    <w:name w:val="Hyperlink"/>
    <w:basedOn w:val="Absatz-Standardschriftart"/>
    <w:rPr>
      <w:color w:val="000080"/>
      <w:w w:val="100"/>
      <w:u w:val="thick" w:color="000080"/>
    </w:rPr>
  </w:style>
  <w:style w:type="character" w:styleId="Seitenzahl">
    <w:name w:val="page number"/>
    <w:basedOn w:val="Absatz-Standardschriftart"/>
    <w:qFormat/>
  </w:style>
  <w:style w:type="character" w:customStyle="1" w:styleId="FunotentextZchn">
    <w:name w:val="Fußnotentext Zchn"/>
    <w:basedOn w:val="Absatz-Standardschriftart"/>
    <w:link w:val="Funotentext"/>
    <w:qFormat/>
    <w:rPr>
      <w:rFonts w:ascii="Times New Roman" w:hAnsi="Times New Roman"/>
      <w:sz w:val="20"/>
      <w:szCs w:val="20"/>
    </w:rPr>
  </w:style>
  <w:style w:type="character" w:customStyle="1" w:styleId="IntensivesZitatZchn">
    <w:name w:val="Intensives Zitat Zchn"/>
    <w:basedOn w:val="Absatz-Standardschriftart"/>
    <w:link w:val="IntensivesZitat"/>
    <w:qFormat/>
    <w:rPr>
      <w:rFonts w:ascii="Libertinus Serif" w:hAnsi="Libertinus Serif"/>
      <w:bCs/>
      <w:sz w:val="20"/>
    </w:rPr>
  </w:style>
  <w:style w:type="character" w:customStyle="1" w:styleId="KapitlchenSmallCapital">
    <w:name w:val="Kapitälchen/Small Capital"/>
    <w:basedOn w:val="Absatz-Standardschriftart"/>
    <w:qFormat/>
    <w:rPr>
      <w:smallCaps/>
    </w:rPr>
  </w:style>
  <w:style w:type="character" w:customStyle="1" w:styleId="Aufzhlungszeichen1">
    <w:name w:val="Aufzählungszeichen1"/>
    <w:qFormat/>
    <w:rPr>
      <w:rFonts w:ascii="OpenSymbol" w:eastAsia="OpenSymbol" w:hAnsi="OpenSymbol" w:cs="OpenSymbol"/>
    </w:rPr>
  </w:style>
  <w:style w:type="character" w:styleId="Funotenzeichen">
    <w:name w:val="footnote reference"/>
    <w:rPr>
      <w:vertAlign w:val="superscript"/>
    </w:rPr>
  </w:style>
  <w:style w:type="character" w:styleId="Endnotenzeichen">
    <w:name w:val="endnote reference"/>
    <w:rPr>
      <w:vertAlign w:val="superscript"/>
    </w:rPr>
  </w:style>
  <w:style w:type="character" w:customStyle="1" w:styleId="SprechblasentextZchn">
    <w:name w:val="Sprechblasentext Zchn"/>
    <w:basedOn w:val="Absatz-Standardschriftart"/>
    <w:link w:val="Sprechblasentext"/>
    <w:qFormat/>
    <w:rPr>
      <w:rFonts w:ascii="Tahoma" w:hAnsi="Tahoma" w:cs="Tahoma"/>
      <w:sz w:val="16"/>
      <w:szCs w:val="16"/>
    </w:rPr>
  </w:style>
  <w:style w:type="paragraph" w:customStyle="1" w:styleId="berschrift">
    <w:name w:val="Überschrift"/>
    <w:basedOn w:val="berschrift1"/>
    <w:next w:val="Textkrper"/>
    <w:qFormat/>
    <w:pPr>
      <w:spacing w:before="240" w:after="120"/>
    </w:pPr>
    <w:rPr>
      <w:rFonts w:ascii="Liberation Sans" w:eastAsia="Noto Sans CJK SC" w:hAnsi="Liberation Sans" w:cs="Droid Sans Devanagari"/>
      <w:szCs w:val="28"/>
    </w:rPr>
  </w:style>
  <w:style w:type="paragraph" w:styleId="Textkrper">
    <w:name w:val="Body Text"/>
    <w:basedOn w:val="Standard"/>
    <w:pPr>
      <w:spacing w:before="0" w:after="140" w:line="276" w:lineRule="auto"/>
    </w:pPr>
  </w:style>
  <w:style w:type="paragraph" w:styleId="Liste">
    <w:name w:val="List"/>
    <w:basedOn w:val="Textkrper"/>
    <w:rPr>
      <w:rFonts w:cs="Droid Sans Devanagari"/>
    </w:rPr>
  </w:style>
  <w:style w:type="paragraph" w:styleId="Beschriftung">
    <w:name w:val="caption"/>
    <w:basedOn w:val="Standard"/>
    <w:qFormat/>
    <w:pPr>
      <w:suppressLineNumbers/>
      <w:spacing w:after="227" w:line="232" w:lineRule="exact"/>
    </w:pPr>
    <w:rPr>
      <w:rFonts w:cs="Droid Sans Devanagari"/>
      <w:iCs/>
      <w:sz w:val="19"/>
      <w:szCs w:val="24"/>
    </w:rPr>
  </w:style>
  <w:style w:type="paragraph" w:customStyle="1" w:styleId="Verzeichnis">
    <w:name w:val="Verzeichnis"/>
    <w:basedOn w:val="Standard"/>
    <w:qFormat/>
    <w:pPr>
      <w:suppressLineNumbers/>
    </w:pPr>
    <w:rPr>
      <w:rFonts w:cs="Droid Sans Devanagari"/>
    </w:rPr>
  </w:style>
  <w:style w:type="paragraph" w:styleId="Titel">
    <w:name w:val="Title"/>
    <w:basedOn w:val="Standard"/>
    <w:next w:val="Standard"/>
    <w:link w:val="TitelZchn"/>
    <w:qFormat/>
    <w:rsid w:val="00227F60"/>
    <w:pPr>
      <w:suppressAutoHyphens/>
      <w:spacing w:before="170" w:after="340" w:line="440" w:lineRule="exact"/>
      <w:contextualSpacing/>
      <w:jc w:val="center"/>
    </w:pPr>
    <w:rPr>
      <w:rFonts w:ascii="Fira Sans" w:hAnsi="Fira Sans"/>
      <w:b/>
      <w:color w:val="4FAF4A"/>
      <w:sz w:val="38"/>
      <w:szCs w:val="56"/>
    </w:rPr>
  </w:style>
  <w:style w:type="paragraph" w:styleId="Zitat">
    <w:name w:val="Quote"/>
    <w:basedOn w:val="Standard"/>
    <w:next w:val="Standard"/>
    <w:link w:val="ZitatZchn"/>
    <w:qFormat/>
    <w:pPr>
      <w:spacing w:line="250" w:lineRule="exact"/>
      <w:ind w:left="794" w:right="794"/>
    </w:pPr>
    <w:rPr>
      <w:iCs/>
      <w:sz w:val="20"/>
    </w:rPr>
  </w:style>
  <w:style w:type="paragraph" w:styleId="Untertitel">
    <w:name w:val="Subtitle"/>
    <w:basedOn w:val="Standard"/>
    <w:next w:val="Standard"/>
    <w:link w:val="UntertitelZchn"/>
    <w:qFormat/>
    <w:rsid w:val="004C5262"/>
    <w:pPr>
      <w:suppressAutoHyphens/>
      <w:spacing w:before="0" w:after="340" w:line="320" w:lineRule="exact"/>
      <w:contextualSpacing/>
      <w:jc w:val="center"/>
    </w:pPr>
    <w:rPr>
      <w:rFonts w:ascii="Fira Sans" w:hAnsi="Fira Sans"/>
      <w:b/>
      <w:color w:val="5A5A5A"/>
      <w:spacing w:val="16"/>
      <w:sz w:val="28"/>
    </w:rPr>
  </w:style>
  <w:style w:type="paragraph" w:customStyle="1" w:styleId="Author">
    <w:name w:val="Author"/>
    <w:basedOn w:val="Titel"/>
    <w:qFormat/>
    <w:pPr>
      <w:spacing w:before="0" w:line="340" w:lineRule="exact"/>
    </w:pPr>
    <w:rPr>
      <w:b w:val="0"/>
      <w:color w:val="auto"/>
      <w:sz w:val="26"/>
    </w:rPr>
  </w:style>
  <w:style w:type="paragraph" w:styleId="Listenabsatz">
    <w:name w:val="List Paragraph"/>
    <w:basedOn w:val="Standard"/>
    <w:qFormat/>
    <w:pPr>
      <w:tabs>
        <w:tab w:val="left" w:pos="0"/>
      </w:tabs>
      <w:ind w:left="284" w:hanging="284"/>
      <w:contextualSpacing/>
    </w:pPr>
  </w:style>
  <w:style w:type="paragraph" w:customStyle="1" w:styleId="Example">
    <w:name w:val="Example"/>
    <w:basedOn w:val="Standard"/>
    <w:qFormat/>
    <w:rsid w:val="00A54BA3"/>
    <w:pPr>
      <w:numPr>
        <w:numId w:val="3"/>
      </w:numPr>
      <w:spacing w:before="57" w:after="57" w:line="240" w:lineRule="exact"/>
      <w:ind w:left="454" w:hanging="454"/>
    </w:pPr>
    <w:rPr>
      <w:sz w:val="20"/>
    </w:rPr>
  </w:style>
  <w:style w:type="paragraph" w:customStyle="1" w:styleId="Kopf-undFuzeile">
    <w:name w:val="Kopf- und Fußzeile"/>
    <w:basedOn w:val="Standard"/>
    <w:qFormat/>
  </w:style>
  <w:style w:type="paragraph" w:styleId="Kopfzeile">
    <w:name w:val="header"/>
    <w:basedOn w:val="Standard"/>
    <w:link w:val="KopfzeileZchn"/>
    <w:pPr>
      <w:tabs>
        <w:tab w:val="center" w:pos="4536"/>
        <w:tab w:val="right" w:pos="9072"/>
      </w:tabs>
      <w:spacing w:before="0" w:line="240" w:lineRule="auto"/>
    </w:pPr>
  </w:style>
  <w:style w:type="paragraph" w:styleId="Fuzeile">
    <w:name w:val="footer"/>
    <w:basedOn w:val="Standard"/>
    <w:link w:val="FuzeileZchn"/>
    <w:pPr>
      <w:tabs>
        <w:tab w:val="center" w:pos="4536"/>
        <w:tab w:val="right" w:pos="9072"/>
      </w:tabs>
      <w:spacing w:before="0" w:line="240" w:lineRule="auto"/>
    </w:pPr>
  </w:style>
  <w:style w:type="paragraph" w:customStyle="1" w:styleId="FunoteFootnote">
    <w:name w:val="Fußnote/Footnote"/>
    <w:basedOn w:val="Funotentext"/>
    <w:qFormat/>
    <w:pPr>
      <w:tabs>
        <w:tab w:val="left" w:pos="283"/>
      </w:tabs>
      <w:spacing w:line="230" w:lineRule="atLeast"/>
      <w:ind w:left="284" w:hanging="284"/>
      <w:textAlignment w:val="center"/>
    </w:pPr>
    <w:rPr>
      <w:rFonts w:cs="Times New Roman"/>
    </w:rPr>
  </w:style>
  <w:style w:type="paragraph" w:styleId="Funotentext">
    <w:name w:val="footnote text"/>
    <w:basedOn w:val="Standard"/>
    <w:link w:val="FunotentextZchn"/>
    <w:pPr>
      <w:spacing w:before="0" w:line="232" w:lineRule="exact"/>
      <w:ind w:left="283" w:hanging="283"/>
    </w:pPr>
    <w:rPr>
      <w:sz w:val="19"/>
      <w:szCs w:val="20"/>
    </w:rPr>
  </w:style>
  <w:style w:type="paragraph" w:customStyle="1" w:styleId="Keywords">
    <w:name w:val="Keywords"/>
    <w:basedOn w:val="Standard"/>
    <w:qFormat/>
    <w:rPr>
      <w:sz w:val="20"/>
    </w:rPr>
  </w:style>
  <w:style w:type="paragraph" w:styleId="IntensivesZitat">
    <w:name w:val="Intense Quote"/>
    <w:basedOn w:val="Zitat"/>
    <w:next w:val="Standard"/>
    <w:link w:val="IntensivesZitatZchn"/>
    <w:qFormat/>
    <w:rPr>
      <w:bCs/>
      <w:iCs w:val="0"/>
    </w:rPr>
  </w:style>
  <w:style w:type="paragraph" w:customStyle="1" w:styleId="ReferenceEntry">
    <w:name w:val="Reference Entry"/>
    <w:basedOn w:val="Standard"/>
    <w:qFormat/>
    <w:pPr>
      <w:spacing w:before="28" w:line="193" w:lineRule="atLeast"/>
      <w:ind w:left="283" w:hanging="283"/>
      <w:jc w:val="left"/>
      <w:textAlignment w:val="center"/>
    </w:pPr>
    <w:rPr>
      <w:rFonts w:cs="Libertinus Serif"/>
      <w:sz w:val="19"/>
      <w:szCs w:val="20"/>
    </w:rPr>
  </w:style>
  <w:style w:type="paragraph" w:customStyle="1" w:styleId="HngenderEinzug">
    <w:name w:val="Hängender Einzug"/>
    <w:basedOn w:val="Textkrper"/>
    <w:qFormat/>
    <w:pPr>
      <w:spacing w:after="0"/>
      <w:ind w:left="283" w:hanging="283"/>
    </w:pPr>
  </w:style>
  <w:style w:type="paragraph" w:customStyle="1" w:styleId="Tabelleninhalt">
    <w:name w:val="Tabelleninhalt"/>
    <w:basedOn w:val="Standard"/>
    <w:qFormat/>
    <w:pPr>
      <w:widowControl w:val="0"/>
      <w:suppressLineNumbers/>
      <w:spacing w:after="57" w:line="232" w:lineRule="exact"/>
    </w:pPr>
    <w:rPr>
      <w:sz w:val="19"/>
    </w:rPr>
  </w:style>
  <w:style w:type="paragraph" w:customStyle="1" w:styleId="Tabellenberschrift">
    <w:name w:val="Tabellenüberschrift"/>
    <w:basedOn w:val="Tabelleninhalt"/>
    <w:qFormat/>
    <w:pPr>
      <w:jc w:val="left"/>
    </w:pPr>
    <w:rPr>
      <w:b/>
      <w:bCs/>
    </w:rPr>
  </w:style>
  <w:style w:type="paragraph" w:customStyle="1" w:styleId="Literaturverzeichnis1">
    <w:name w:val="Literaturverzeichnis 1"/>
    <w:basedOn w:val="Verzeichnis"/>
    <w:qFormat/>
    <w:pPr>
      <w:spacing w:before="0" w:line="240" w:lineRule="atLeast"/>
      <w:ind w:left="720" w:hanging="720"/>
    </w:pPr>
    <w:rPr>
      <w:sz w:val="19"/>
    </w:rPr>
  </w:style>
  <w:style w:type="paragraph" w:styleId="Indexberschrift">
    <w:name w:val="index heading"/>
    <w:basedOn w:val="berschrift1"/>
    <w:autoRedefine/>
  </w:style>
  <w:style w:type="paragraph" w:styleId="Rechtsgrundlagenverzeichnis">
    <w:name w:val="table of authorities"/>
    <w:basedOn w:val="berschrift1"/>
    <w:autoRedefine/>
    <w:pPr>
      <w:suppressLineNumbers/>
    </w:pPr>
  </w:style>
  <w:style w:type="paragraph" w:styleId="Gruformel">
    <w:name w:val="Closing"/>
    <w:basedOn w:val="berschrift"/>
    <w:next w:val="Textkrper"/>
    <w:qFormat/>
    <w:pPr>
      <w:jc w:val="center"/>
    </w:pPr>
    <w:rPr>
      <w:bCs/>
      <w:szCs w:val="32"/>
    </w:rPr>
  </w:style>
  <w:style w:type="paragraph" w:styleId="Inhaltsverzeichnisberschrift">
    <w:name w:val="TOC Heading"/>
    <w:basedOn w:val="Indexberschrift"/>
  </w:style>
  <w:style w:type="paragraph" w:customStyle="1" w:styleId="Abbildungsindexberschriften">
    <w:name w:val="Abbildungsindex Überschriften"/>
    <w:basedOn w:val="Indexberschrift"/>
    <w:qFormat/>
  </w:style>
  <w:style w:type="paragraph" w:customStyle="1" w:styleId="OLtext">
    <w:name w:val="OL text"/>
    <w:basedOn w:val="Standard"/>
    <w:qFormat/>
    <w:pPr>
      <w:spacing w:before="0" w:line="240" w:lineRule="exact"/>
    </w:pPr>
    <w:rPr>
      <w:rFonts w:ascii="Times New Roman" w:eastAsia="Times New Roman" w:hAnsi="Times New Roman" w:cs="Times New Roman"/>
      <w:sz w:val="20"/>
      <w:szCs w:val="20"/>
      <w:lang w:val="en-US"/>
    </w:rPr>
  </w:style>
  <w:style w:type="paragraph" w:customStyle="1" w:styleId="OLtextindented">
    <w:name w:val="OL text indented"/>
    <w:basedOn w:val="OLtext"/>
    <w:qFormat/>
    <w:pPr>
      <w:ind w:firstLine="240"/>
    </w:pPr>
  </w:style>
  <w:style w:type="paragraph" w:customStyle="1" w:styleId="OLexamplesecondglossline">
    <w:name w:val="OL example second gloss line"/>
    <w:basedOn w:val="Standard"/>
    <w:qFormat/>
    <w:pPr>
      <w:keepNext/>
      <w:spacing w:before="0" w:line="240" w:lineRule="auto"/>
      <w:jc w:val="left"/>
    </w:pPr>
    <w:rPr>
      <w:rFonts w:ascii="Times New Roman" w:eastAsia="Times New Roman" w:hAnsi="Times New Roman" w:cs="Times New Roman"/>
      <w:sz w:val="16"/>
      <w:szCs w:val="16"/>
      <w:lang w:val="en-US"/>
    </w:rPr>
  </w:style>
  <w:style w:type="paragraph" w:customStyle="1" w:styleId="OL3ptseparator">
    <w:name w:val="OL 3pt separator"/>
    <w:basedOn w:val="Standard"/>
    <w:qFormat/>
    <w:pPr>
      <w:spacing w:before="0" w:line="240" w:lineRule="auto"/>
      <w:jc w:val="left"/>
    </w:pPr>
    <w:rPr>
      <w:rFonts w:ascii="Times New Roman" w:eastAsia="Times New Roman" w:hAnsi="Times New Roman" w:cs="Times New Roman"/>
      <w:sz w:val="6"/>
      <w:szCs w:val="6"/>
      <w:lang w:val="en-AU"/>
    </w:rPr>
  </w:style>
  <w:style w:type="paragraph" w:customStyle="1" w:styleId="OLfootnote">
    <w:name w:val="OL footnote"/>
    <w:basedOn w:val="OLtext"/>
    <w:qFormat/>
    <w:pPr>
      <w:spacing w:line="180" w:lineRule="exact"/>
      <w:ind w:left="240" w:hanging="240"/>
    </w:pPr>
    <w:rPr>
      <w:sz w:val="16"/>
    </w:rPr>
  </w:style>
  <w:style w:type="paragraph" w:customStyle="1" w:styleId="OLexamplesource">
    <w:name w:val="OL example source"/>
    <w:basedOn w:val="OLtext"/>
    <w:qFormat/>
    <w:pPr>
      <w:jc w:val="right"/>
    </w:pPr>
  </w:style>
  <w:style w:type="paragraph" w:styleId="Sprechblasentext">
    <w:name w:val="Balloon Text"/>
    <w:basedOn w:val="Standard"/>
    <w:link w:val="SprechblasentextZchn"/>
    <w:qFormat/>
    <w:pPr>
      <w:spacing w:before="0" w:line="240" w:lineRule="auto"/>
    </w:pPr>
    <w:rPr>
      <w:rFonts w:ascii="Tahoma" w:hAnsi="Tahoma"/>
      <w:sz w:val="16"/>
      <w:szCs w:val="16"/>
    </w:rPr>
  </w:style>
  <w:style w:type="character" w:styleId="NichtaufgelsteErwhnung">
    <w:name w:val="Unresolved Mention"/>
    <w:basedOn w:val="Absatz-Standardschriftart"/>
    <w:uiPriority w:val="99"/>
    <w:semiHidden/>
    <w:unhideWhenUsed/>
    <w:rsid w:val="0072137D"/>
    <w:rPr>
      <w:color w:val="605E5C"/>
      <w:shd w:val="clear" w:color="auto" w:fill="E1DFDD"/>
    </w:rPr>
  </w:style>
  <w:style w:type="table" w:customStyle="1" w:styleId="Tabellenraster1">
    <w:name w:val="Tabellenraster1"/>
    <w:basedOn w:val="NormaleTabelle"/>
    <w:next w:val="Tabellenraster"/>
    <w:uiPriority w:val="39"/>
    <w:rsid w:val="0072137D"/>
    <w:pPr>
      <w:suppressAutoHyphens w:val="0"/>
    </w:pPr>
    <w:rPr>
      <w:rFonts w:cs="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raster">
    <w:name w:val="Table Grid"/>
    <w:basedOn w:val="NormaleTabelle"/>
    <w:uiPriority w:val="39"/>
    <w:rsid w:val="007213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69717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akgaertig@units.i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918</Words>
  <Characters>5786</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6691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Kupietz</dc:creator>
  <dc:description/>
  <cp:lastModifiedBy>GAERTIG- BRESSAN ANNE-KATHRIN</cp:lastModifiedBy>
  <cp:revision>4</cp:revision>
  <cp:lastPrinted>2023-03-11T11:57:00Z</cp:lastPrinted>
  <dcterms:created xsi:type="dcterms:W3CDTF">2023-04-27T12:09:00Z</dcterms:created>
  <dcterms:modified xsi:type="dcterms:W3CDTF">2023-04-27T12:39:00Z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BREF_0sVWis3f4vrG_1">
    <vt:lpwstr>ZOTERO_ITEM CSL_CITATION {"citationID":"cNfOT9B7","properties":{"formattedCitation":"(Haspelmath 1993, p. 207)","plainCitation":"(Haspelmath 1993, p. 207)","noteIndex":0},"citationItems":[{"id":63066,"uris":["http://zotero.org/users/7800386/items/H2JQ756D</vt:lpwstr>
  </property>
  <property fmtid="{D5CDD505-2E9C-101B-9397-08002B2CF9AE}" pid="3" name="ZOTERO_BREF_0sVWis3f4vrG_2">
    <vt:lpwstr>"],"itemData":{"id":63066,"type":"article-journal","container-title":"New York","journalAbbreviation":"New York","title":"A grammar of Lezgian.(Mouton Grammar Library, 9). Berlin","author":[{"family":"Haspelmath","given":"M"}],"issued":{"date-parts":[["19</vt:lpwstr>
  </property>
  <property fmtid="{D5CDD505-2E9C-101B-9397-08002B2CF9AE}" pid="4" name="ZOTERO_BREF_0sVWis3f4vrG_3">
    <vt:lpwstr>93"]]}},"locator":"207","label":"page"}],"schema":"https://github.com/citation-style-language/schema/raw/master/csl-citation.json"}</vt:lpwstr>
  </property>
  <property fmtid="{D5CDD505-2E9C-101B-9397-08002B2CF9AE}" pid="5" name="ZOTERO_BREF_ScWPDzRVRHh0_1">
    <vt:lpwstr>ZOTERO_ITEM CSL_CITATION {"citationID":"Oz3G59Pn","properties":{"formattedCitation":"(Teich 2003)","plainCitation":"(Teich 2003)","noteIndex":0},"citationItems":[{"id":63049,"uris":["http://zotero.org/users/7800386/items/L78RLSNM"],"itemData":{"id":63049,</vt:lpwstr>
  </property>
  <property fmtid="{D5CDD505-2E9C-101B-9397-08002B2CF9AE}" pid="6" name="ZOTERO_BREF_ScWPDzRVRHh0_2">
    <vt:lpwstr>"type":"book","event-place":"Berlin","publisher":"Mouton de Gruyter","publisher-place":"Berlin","title":"Cross-Linguistic Variation in System and Text: A Methodology for the Investigation of Translations and Comparable Texts","author":[{"family":"Teich","</vt:lpwstr>
  </property>
  <property fmtid="{D5CDD505-2E9C-101B-9397-08002B2CF9AE}" pid="7" name="ZOTERO_BREF_ScWPDzRVRHh0_3">
    <vt:lpwstr>given":"Elke"}],"issued":{"date-parts":[["2003"]]}}}],"schema":"https://github.com/citation-style-language/schema/raw/master/csl-citation.json"}</vt:lpwstr>
  </property>
  <property fmtid="{D5CDD505-2E9C-101B-9397-08002B2CF9AE}" pid="8" name="ZOTERO_BREF_V5TMI0czrpa0_1">
    <vt:lpwstr>ZOTERO_ITEM CSL_CITATION {"citationID":"BRvaGgo9","properties":{"formattedCitation":"(Bickel/Comrie/Haspelmath 2015)","plainCitation":"(Bickel/Comrie/Haspelmath 2015)","noteIndex":0},"citationItems":[{"id":63065,"uris":["http://zotero.org/users/7800386/it</vt:lpwstr>
  </property>
  <property fmtid="{D5CDD505-2E9C-101B-9397-08002B2CF9AE}" pid="9" name="ZOTERO_BREF_V5TMI0czrpa0_2">
    <vt:lpwstr>ems/XDMEJRBJ"],"itemData":{"id":63065,"type":"document","note":"Revised version of May 31, 2015","title":"The Leipzig glossing rules: Conventions for interlinear morpheme-by-morpheme glosses","URL":"https://www.eva.mpg.de/lingua/pdf/Glossing-Rules.pdf","a</vt:lpwstr>
  </property>
  <property fmtid="{D5CDD505-2E9C-101B-9397-08002B2CF9AE}" pid="10" name="ZOTERO_BREF_V5TMI0czrpa0_3">
    <vt:lpwstr>uthor":[{"family":"Bickel","given":"Balthasar"},{"family":"Comrie","given":"Bernard"},{"family":"Haspelmath","given":"Martin"}],"accessed":{"date-parts":[["2023",3,8]]},"issued":{"date-parts":[["2015"]]}}}],"schema":"https://github.com/citation-style-lang</vt:lpwstr>
  </property>
  <property fmtid="{D5CDD505-2E9C-101B-9397-08002B2CF9AE}" pid="11" name="ZOTERO_BREF_V5TMI0czrpa0_4">
    <vt:lpwstr>uage/schema/raw/master/csl-citation.json"}</vt:lpwstr>
  </property>
  <property fmtid="{D5CDD505-2E9C-101B-9397-08002B2CF9AE}" pid="12" name="ZOTERO_BREF_hAC7oUOtVeE8_1">
    <vt:lpwstr>ZOTERO_ITEM CSL_CITATION {"citationID":"BOYKEc9w","properties":{"formattedCitation":"(Cappelle/Mostrov/Tayalati 2021, p. 82)","plainCitation":"(Cappelle/Mostrov/Tayalati 2021, p. 82)","noteIndex":0},"citationItems":[{"id":63059,"uris":["http://zotero.org/</vt:lpwstr>
  </property>
  <property fmtid="{D5CDD505-2E9C-101B-9397-08002B2CF9AE}" pid="13" name="ZOTERO_BREF_hAC7oUOtVeE8_2">
    <vt:lpwstr>users/7800386/items/IJ9ABV2D"],"itemData":{"id":63059,"type":"article-journal","abstract":"Abstract This study focuses on French and English abstract nouns denoting properties that can be ascribed to humans, such as beauty, carefulness and anger. Previous</vt:lpwstr>
  </property>
  <property fmtid="{D5CDD505-2E9C-101B-9397-08002B2CF9AE}" pid="14" name="ZOTERO_BREF_hAC7oUOtVeE8_3">
    <vt:lpwstr> research showed that some but not all of these nouns are licensed in both locative existentials (e.g., There’s an intense anger in Isabella) and possessive existentials (e.g., Isabella has an intense anger). What remains unclear is how these and other pa</vt:lpwstr>
  </property>
  <property fmtid="{D5CDD505-2E9C-101B-9397-08002B2CF9AE}" pid="15" name="ZOTERO_BREF_hAC7oUOtVeE8_4">
    <vt:lpwstr>tterns correlate among themselves depending on how easily they host such nouns. We here use speaker ratings of these nouns in different constructional environments. A principal component analysis suggests that the main dimension underlying native speakers</vt:lpwstr>
  </property>
  <property fmtid="{D5CDD505-2E9C-101B-9397-08002B2CF9AE}" pid="16" name="ZOTERO_BREF_hAC7oUOtVeE8_5">
    <vt:lpwstr>’ ratings of these abstract nouns in six different patterns is temporal limitability. This gradable distinction, strongly correlated with the locative existential, holds for both the French and English data and outweighs any French-English contrastive dif</vt:lpwstr>
  </property>
  <property fmtid="{D5CDD505-2E9C-101B-9397-08002B2CF9AE}" pid="17" name="ZOTERO_BREF_hAC7oUOtVeE8_6">
    <vt:lpwstr>ferences in how acceptable human property nouns are considered to be in the patterns studied.","container-title":"Languages in Contrast","DOI":"10.1075/lic.19006.cap","ISSN":"1387-6759","issue":"1","journalAbbreviation":"Lang. Contrast","note":"publisher:</vt:lpwstr>
  </property>
  <property fmtid="{D5CDD505-2E9C-101B-9397-08002B2CF9AE}" pid="18" name="ZOTERO_BREF_hAC7oUOtVeE8_7">
    <vt:lpwstr> John Benjamins Publishing Company","page":"82-111","title":"Temperaments, tempers, and temporality","volume":"21","author":[{"family":"Cappelle","given":"Bert"},{"family":"Mostrov","given":"Vassil"},{"family":"Tayalati","given":"Fayssal"}],"issued":{"dat</vt:lpwstr>
  </property>
  <property fmtid="{D5CDD505-2E9C-101B-9397-08002B2CF9AE}" pid="19" name="ZOTERO_BREF_hAC7oUOtVeE8_8">
    <vt:lpwstr>e-parts":[["2021",1,26]]}},"locator":"82","label":"page"}],"schema":"https://github.com/citation-style-language/schema/raw/master/csl-citation.json"}</vt:lpwstr>
  </property>
  <property fmtid="{D5CDD505-2E9C-101B-9397-08002B2CF9AE}" pid="20" name="ZOTERO_BREF_nOh0h30CRAuA_1">
    <vt:lpwstr>ZOTERO_ITEM CSL_CITATION {"citationID":"EiAJUOGU","properties":{"formattedCitation":"(Ernst 1994; Greenbaum 1996, pp. 2\\uc0\\u8211{}3)","plainCitation":"(Ernst 1994; Greenbaum 1996, pp. 2–3)","noteIndex":0},"citationItems":[{"id":63067,"uris":["http://zo</vt:lpwstr>
  </property>
  <property fmtid="{D5CDD505-2E9C-101B-9397-08002B2CF9AE}" pid="21" name="ZOTERO_BREF_nOh0h30CRAuA_2">
    <vt:lpwstr>tero.org/users/7800386/items/BX9I3NPY"],"itemData":{"id":63067,"type":"thesis","genre":"Master's Thesis","publisher":"Department of Philosophy, Kings College, University of London","title":"Meaning and Mind in Monkeys","author":[{"family":"Ernst","given":</vt:lpwstr>
  </property>
  <property fmtid="{D5CDD505-2E9C-101B-9397-08002B2CF9AE}" pid="22" name="ZOTERO_BREF_nOh0h30CRAuA_3">
    <vt:lpwstr>"Pascal"}],"issued":{"date-parts":[["1994"]]}}},{"id":63045,"uris":["http://zotero.org/users/7800386/items/VPV5CQC5"],"itemData":{"id":63045,"type":"book","event-place":"Oxford","publisher":"Clarendon Press","publisher-place":"Oxford","title":"Comparing E</vt:lpwstr>
  </property>
  <property fmtid="{D5CDD505-2E9C-101B-9397-08002B2CF9AE}" pid="23" name="ZOTERO_BREF_nOh0h30CRAuA_4">
    <vt:lpwstr>nglish Worldwide: The International Corpus of English","editor":[{"family":"Greenbaum","given":"Sidney"}],"issued":{"date-parts":[["1996"]]}},"locator":"2-3","label":"page"}],"schema":"https://github.com/citation-style-language/schema/raw/master/csl-citat</vt:lpwstr>
  </property>
  <property fmtid="{D5CDD505-2E9C-101B-9397-08002B2CF9AE}" pid="24" name="ZOTERO_BREF_nOh0h30CRAuA_5">
    <vt:lpwstr>ion.json"}</vt:lpwstr>
  </property>
  <property fmtid="{D5CDD505-2E9C-101B-9397-08002B2CF9AE}" pid="25" name="ZOTERO_BREF_uTco13lYWpsN_1">
    <vt:lpwstr>ZOTERO_ITEM CSL_CITATION {"citationID":"5sCYlDOo","properties":{"formattedCitation":"(Hasselg\\uc0\\u229{}rd/Johansson 2011)","plainCitation":"(Hasselgård/Johansson 2011)","noteIndex":0},"citationItems":[{"id":63063,"uris":["http://zotero.org/users/780038</vt:lpwstr>
  </property>
  <property fmtid="{D5CDD505-2E9C-101B-9397-08002B2CF9AE}" pid="26" name="ZOTERO_BREF_uTco13lYWpsN_2">
    <vt:lpwstr>6/items/CRCEURAF"],"itemData":{"id":63063,"type":"chapter","collection-title":"Studies in Corpus Linguistics","container-title":"A Taste for Corpora","event-place":"Amsterdam","note":"publisher: John Benjamins","page":"33-61","publisher":"Benjamins","publ</vt:lpwstr>
  </property>
  <property fmtid="{D5CDD505-2E9C-101B-9397-08002B2CF9AE}" pid="27" name="ZOTERO_BREF_uTco13lYWpsN_3">
    <vt:lpwstr>isher-place":"Amsterdam","title":"Learner corpora and contrastive interlanguage analysis","author":[{"family":"Hasselgård","given":"Hilde"},{"family":"Johansson","given":"Stig"}],"editor":[{"family":"Meunier","given":"Fanny"},{"family":"Paquot","given":"M</vt:lpwstr>
  </property>
  <property fmtid="{D5CDD505-2E9C-101B-9397-08002B2CF9AE}" pid="28" name="ZOTERO_BREF_uTco13lYWpsN_4">
    <vt:lpwstr>agali"},{"family":"Gilquin","given":"Gaëtanelle"},{"family":"De Cock","given":"Sylvie"}],"issued":{"date-parts":[["2011"]]}}}],"schema":"https://github.com/citation-style-language/schema/raw/master/csl-citation.json"}</vt:lpwstr>
  </property>
  <property fmtid="{D5CDD505-2E9C-101B-9397-08002B2CF9AE}" pid="29" name="ZOTERO_BREF_xuNV8XID0H2x_1">
    <vt:lpwstr>ZOTERO_BIBL {"uncited":[],"omitted":[],"custom":[]} CSL_BIBLIOGRAPHY</vt:lpwstr>
  </property>
  <property fmtid="{D5CDD505-2E9C-101B-9397-08002B2CF9AE}" pid="30" name="ZOTERO_PREF_1">
    <vt:lpwstr>&lt;data data-version="3" zotero-version="6.0.22"&gt;&lt;session id="oEl9wfyX"/&gt;&lt;style id="http://www.zotero.org/styles/ICLC-10" locale="en-GB" hasBibliography="1" bibliographyStyleHasBeenSet="0"/&gt;&lt;prefs&gt;&lt;pref name="fieldType" value="Field"/&gt;&lt;pref name="automaticJ</vt:lpwstr>
  </property>
  <property fmtid="{D5CDD505-2E9C-101B-9397-08002B2CF9AE}" pid="31" name="ZOTERO_PREF_2">
    <vt:lpwstr>ournalAbbreviations" value="true"/&gt;&lt;/prefs&gt;&lt;/data&gt;</vt:lpwstr>
  </property>
</Properties>
</file>