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89B27" w14:textId="3A4586AE" w:rsidR="00AB181E" w:rsidRPr="00751CAF" w:rsidRDefault="00E85B33">
      <w:pPr>
        <w:pStyle w:val="Author"/>
        <w:rPr>
          <w:lang w:val="en-US"/>
        </w:rPr>
      </w:pPr>
      <w:r w:rsidRPr="00751CAF">
        <w:rPr>
          <w:lang w:val="en-US"/>
        </w:rPr>
        <w:t xml:space="preserve">Hannah J. Seemann/Albert </w:t>
      </w:r>
      <w:proofErr w:type="spellStart"/>
      <w:r w:rsidRPr="00751CAF">
        <w:rPr>
          <w:lang w:val="en-US"/>
        </w:rPr>
        <w:t>Marsik</w:t>
      </w:r>
      <w:proofErr w:type="spellEnd"/>
    </w:p>
    <w:p w14:paraId="2DE4D9AC" w14:textId="0CC04216" w:rsidR="00AB181E" w:rsidRDefault="00E85B33">
      <w:pPr>
        <w:pStyle w:val="Title"/>
      </w:pPr>
      <w:r w:rsidRPr="00D2372C">
        <w:t xml:space="preserve">Expressing </w:t>
      </w:r>
      <w:r w:rsidR="00751CAF" w:rsidRPr="00D2372C">
        <w:t>the degree</w:t>
      </w:r>
      <w:r w:rsidR="00751CAF">
        <w:t xml:space="preserve"> of confidence</w:t>
      </w:r>
      <w:r>
        <w:t xml:space="preserve"> and attitude in Czech and German</w:t>
      </w:r>
    </w:p>
    <w:p w14:paraId="1477B45A" w14:textId="63982B1B" w:rsidR="00AB181E" w:rsidRDefault="00224AA6">
      <w:pPr>
        <w:pStyle w:val="Keywords"/>
        <w:jc w:val="left"/>
        <w:rPr>
          <w:szCs w:val="20"/>
        </w:rPr>
      </w:pPr>
      <w:r>
        <w:rPr>
          <w:b/>
          <w:szCs w:val="20"/>
        </w:rPr>
        <w:t>Keywords:</w:t>
      </w:r>
      <w:r>
        <w:rPr>
          <w:szCs w:val="20"/>
        </w:rPr>
        <w:t xml:space="preserve"> </w:t>
      </w:r>
      <w:r w:rsidR="00E85B33">
        <w:rPr>
          <w:szCs w:val="20"/>
        </w:rPr>
        <w:t>stance marking; modal particles; Czech; German; parallel corpora</w:t>
      </w:r>
    </w:p>
    <w:p w14:paraId="6AADA725" w14:textId="0A9137E9" w:rsidR="0044372D" w:rsidRDefault="0044372D" w:rsidP="0044372D">
      <w:pPr>
        <w:rPr>
          <w:lang w:val="en"/>
        </w:rPr>
      </w:pPr>
      <w:r w:rsidRPr="0044372D">
        <w:rPr>
          <w:lang w:val="en"/>
        </w:rPr>
        <w:t xml:space="preserve">We present a corpus study investigating how different stance markers are translated from English to Czech and German. In the latter two languages, speakers may express </w:t>
      </w:r>
      <w:r w:rsidR="00751CAF">
        <w:rPr>
          <w:lang w:val="en"/>
        </w:rPr>
        <w:t>their degree of confidence</w:t>
      </w:r>
      <w:r w:rsidRPr="0044372D">
        <w:rPr>
          <w:lang w:val="en"/>
        </w:rPr>
        <w:t xml:space="preserve"> or</w:t>
      </w:r>
      <w:r w:rsidR="00751CAF">
        <w:rPr>
          <w:lang w:val="en"/>
        </w:rPr>
        <w:t xml:space="preserve"> their</w:t>
      </w:r>
      <w:r w:rsidRPr="0044372D">
        <w:rPr>
          <w:lang w:val="en"/>
        </w:rPr>
        <w:t xml:space="preserve"> attitude with modal particles.</w:t>
      </w:r>
      <w:r w:rsidRPr="0044372D">
        <w:rPr>
          <w:vertAlign w:val="superscript"/>
          <w:lang w:val="en"/>
        </w:rPr>
        <w:footnoteReference w:id="1"/>
      </w:r>
      <w:r w:rsidRPr="0044372D">
        <w:rPr>
          <w:lang w:val="en"/>
        </w:rPr>
        <w:t xml:space="preserve"> We define </w:t>
      </w:r>
      <w:r w:rsidR="005C123D">
        <w:rPr>
          <w:lang w:val="en"/>
        </w:rPr>
        <w:t>these</w:t>
      </w:r>
      <w:r w:rsidRPr="0044372D">
        <w:rPr>
          <w:lang w:val="en"/>
        </w:rPr>
        <w:t xml:space="preserve"> particles as noninflected sentence modifiers that add expressive meaning to an utterance</w:t>
      </w:r>
      <w:r w:rsidR="001E4E6F">
        <w:rPr>
          <w:lang w:val="en"/>
        </w:rPr>
        <w:t xml:space="preserve"> </w:t>
      </w:r>
      <w:r w:rsidR="001E4E6F">
        <w:rPr>
          <w:lang w:val="en"/>
        </w:rPr>
        <w:fldChar w:fldCharType="begin"/>
      </w:r>
      <w:r w:rsidR="001E4E6F">
        <w:rPr>
          <w:lang w:val="en"/>
        </w:rPr>
        <w:instrText xml:space="preserve"> ADDIN ZOTERO_ITEM CSL_CITATION {"citationID":"AyOWwYu7","properties":{"formattedCitation":"(Zimmermann 2011; Nekula 2017)","plainCitation":"(Zimmermann 2011; Nekula 2017)","noteIndex":0},"citationItems":[{"id":577,"uris":["http://zotero.org/users/8361915/items/HHJGPBVK"],"itemData":{"id":577,"type":"chapter","collection-number":"33","collection-title":"Handbücher zur Sprach- und Kommunikationswissenschaft HSK","container-title":"Semantics","event-place":"Berlin","page":"2011-2038","publisher":"Mouton de Gruyter","publisher-place":"Berlin","title":"Discourse Particles","volume":"2","author":[{"family":"Zimmermann","given":"Malte"}],"editor":[{"family":"Portner","given":"P."},{"family":"Maienborn","given":"C."},{"family":"Heusinger","given":"K.","dropping-particle":"von"}],"issued":{"date-parts":[["2011"]]}}},{"id":1243,"uris":["http://zotero.org/users/8361915/items/W6EYGEVB"],"itemData":{"id":1243,"type":"entry-encyclopedia","container-title":"CzechEncy - Nový encyklopedický slovník češtiny","title":"MODIFIKAČNÍ ČÁSTICE","URL":"https://www.czechency.org/slovnik/MODIFIKAČNÍ ČÁSTICE","author":[{"family":"Nekula","given":"Marek"}],"editor":[{"family":"Karlík","given":"Petr"},{"family":"Nekula","given":"Marek"},{"family":"Pleskalová","given":"Jana"}],"accessed":{"date-parts":[["2023",1,24]]},"issued":{"date-parts":[["2017"]]}}}],"schema":"https://github.com/citation-style-language/schema/raw/master/csl-citation.json"} </w:instrText>
      </w:r>
      <w:r w:rsidR="001E4E6F">
        <w:rPr>
          <w:lang w:val="en"/>
        </w:rPr>
        <w:fldChar w:fldCharType="separate"/>
      </w:r>
      <w:r w:rsidR="001E4E6F" w:rsidRPr="001E4E6F">
        <w:rPr>
          <w:rFonts w:cs="Libertinus Serif"/>
        </w:rPr>
        <w:t>(Zimmermann 2011; Nekula 2017)</w:t>
      </w:r>
      <w:r w:rsidR="001E4E6F">
        <w:rPr>
          <w:lang w:val="en"/>
        </w:rPr>
        <w:fldChar w:fldCharType="end"/>
      </w:r>
      <w:r w:rsidRPr="0044372D">
        <w:rPr>
          <w:lang w:val="en"/>
        </w:rPr>
        <w:t>, see (1).</w:t>
      </w:r>
      <w:r>
        <w:rPr>
          <w:lang w:val="en"/>
        </w:rPr>
        <w:t xml:space="preserve"> In this example, the particle indicates that </w:t>
      </w:r>
      <w:r w:rsidR="005C123D">
        <w:rPr>
          <w:lang w:val="en"/>
        </w:rPr>
        <w:t xml:space="preserve">in </w:t>
      </w:r>
      <w:r w:rsidR="00D2372C">
        <w:rPr>
          <w:lang w:val="en"/>
        </w:rPr>
        <w:t>the opinion</w:t>
      </w:r>
      <w:r w:rsidR="005C123D">
        <w:rPr>
          <w:lang w:val="en"/>
        </w:rPr>
        <w:t xml:space="preserve"> of the person answering</w:t>
      </w:r>
      <w:r w:rsidR="00D2372C">
        <w:rPr>
          <w:lang w:val="en"/>
        </w:rPr>
        <w:t xml:space="preserve"> in (1a-b)</w:t>
      </w:r>
      <w:r w:rsidR="005C123D">
        <w:rPr>
          <w:lang w:val="en"/>
        </w:rPr>
        <w:t xml:space="preserve">, </w:t>
      </w:r>
      <w:r>
        <w:rPr>
          <w:lang w:val="en"/>
        </w:rPr>
        <w:t>the speaker</w:t>
      </w:r>
      <w:r w:rsidR="005C123D">
        <w:rPr>
          <w:lang w:val="en"/>
        </w:rPr>
        <w:t xml:space="preserve"> </w:t>
      </w:r>
      <w:r>
        <w:rPr>
          <w:lang w:val="en"/>
        </w:rPr>
        <w:t>asking the question</w:t>
      </w:r>
      <w:r w:rsidR="005C123D">
        <w:rPr>
          <w:lang w:val="en"/>
        </w:rPr>
        <w:t xml:space="preserve"> </w:t>
      </w:r>
      <w:r>
        <w:rPr>
          <w:lang w:val="en"/>
        </w:rPr>
        <w:t>already knows (or should know) Paul is sick.</w:t>
      </w:r>
      <w:r w:rsidR="005C123D">
        <w:rPr>
          <w:lang w:val="en"/>
        </w:rPr>
        <w:t xml:space="preserve"> Our definition of stance follows the definition given by </w:t>
      </w:r>
      <w:r w:rsidR="005C123D">
        <w:rPr>
          <w:lang w:val="en"/>
        </w:rPr>
        <w:fldChar w:fldCharType="begin"/>
      </w:r>
      <w:r w:rsidR="005C123D">
        <w:rPr>
          <w:lang w:val="en"/>
        </w:rPr>
        <w:instrText xml:space="preserve"> ADDIN ZOTERO_ITEM CSL_CITATION {"citationID":"8KE6PYPv","properties":{"custom":"Biber et al. (1999)","formattedCitation":"Biber et al. (1999)","plainCitation":"Biber et al. (1999)","noteIndex":0},"citationItems":[{"id":1311,"uris":["http://zotero.org/users/8361915/items/FCRDMYRA"],"itemData":{"id":1311,"type":"book","event-place":"London","publisher":"Longman","publisher-place":"London","title":"The Longman grammar of spoken and written English","author":[{"family":"Biber","given":"Douglas"},{"family":"Johansson","given":"Stig"},{"family":"Leech","given":"Geoffrey"},{"family":"Conrad","given":"Susan"},{"family":"Finegan","given":"Edward"}],"issued":{"date-parts":[["1999"]]}}}],"schema":"https://github.com/citation-style-language/schema/raw/master/csl-citation.json"} </w:instrText>
      </w:r>
      <w:r w:rsidR="005C123D">
        <w:rPr>
          <w:lang w:val="en"/>
        </w:rPr>
        <w:fldChar w:fldCharType="separate"/>
      </w:r>
      <w:r w:rsidR="005C123D" w:rsidRPr="005C123D">
        <w:rPr>
          <w:rFonts w:cs="Libertinus Serif"/>
        </w:rPr>
        <w:t>Biber et al. (1999)</w:t>
      </w:r>
      <w:r w:rsidR="005C123D">
        <w:rPr>
          <w:lang w:val="en"/>
        </w:rPr>
        <w:fldChar w:fldCharType="end"/>
      </w:r>
      <w:r w:rsidR="005C123D">
        <w:rPr>
          <w:lang w:val="en"/>
        </w:rPr>
        <w:t>: Stance markers convey a speaker’s feelings, attitudes, and judgments.</w:t>
      </w:r>
    </w:p>
    <w:p w14:paraId="7991F180" w14:textId="047168A4" w:rsidR="0044372D" w:rsidRPr="0044372D" w:rsidRDefault="0044372D" w:rsidP="0044372D">
      <w:pPr>
        <w:pStyle w:val="Example"/>
        <w:spacing w:before="120"/>
        <w:rPr>
          <w:lang w:val="de-DE"/>
        </w:rPr>
      </w:pPr>
      <w:r>
        <w:t xml:space="preserve">Didn’t Paul want to be here? (slightly adapted from </w:t>
      </w:r>
      <w:proofErr w:type="spellStart"/>
      <w:r>
        <w:t>Nekula</w:t>
      </w:r>
      <w:proofErr w:type="spellEnd"/>
      <w:r>
        <w:t xml:space="preserve"> 1996)</w:t>
      </w:r>
      <w:r>
        <w:tab/>
      </w:r>
      <w:r>
        <w:br/>
      </w:r>
      <w:r w:rsidRPr="00E85B33">
        <w:rPr>
          <w:lang w:val="en-US"/>
        </w:rPr>
        <w:t xml:space="preserve">a. Pavel je </w:t>
      </w:r>
      <w:proofErr w:type="spellStart"/>
      <w:r w:rsidRPr="00E85B33">
        <w:rPr>
          <w:i/>
          <w:lang w:val="en-US"/>
        </w:rPr>
        <w:t>p</w:t>
      </w:r>
      <w:r w:rsidRPr="00E85B33">
        <w:rPr>
          <w:rFonts w:eastAsia="Times New Roman" w:cs="Libertinus Serif"/>
          <w:i/>
          <w:szCs w:val="20"/>
          <w:lang w:val="en-US"/>
        </w:rPr>
        <w:t>řece</w:t>
      </w:r>
      <w:proofErr w:type="spellEnd"/>
      <w:r w:rsidRPr="00E85B33">
        <w:rPr>
          <w:rFonts w:eastAsia="Times New Roman" w:cs="Libertinus Serif"/>
          <w:i/>
          <w:szCs w:val="20"/>
          <w:lang w:val="en-US"/>
        </w:rPr>
        <w:t xml:space="preserve"> </w:t>
      </w:r>
      <w:proofErr w:type="spellStart"/>
      <w:r w:rsidRPr="00E85B33">
        <w:rPr>
          <w:rFonts w:eastAsia="Times New Roman" w:cs="Libertinus Serif"/>
          <w:szCs w:val="20"/>
          <w:lang w:val="en-US"/>
        </w:rPr>
        <w:t>nemo</w:t>
      </w:r>
      <w:r>
        <w:rPr>
          <w:rFonts w:eastAsia="Times New Roman" w:cs="Libertinus Serif"/>
          <w:szCs w:val="20"/>
          <w:lang w:val="en-US"/>
        </w:rPr>
        <w:t>cný</w:t>
      </w:r>
      <w:proofErr w:type="spellEnd"/>
      <w:r>
        <w:rPr>
          <w:rFonts w:eastAsia="Times New Roman" w:cs="Libertinus Serif"/>
          <w:szCs w:val="20"/>
          <w:lang w:val="en-US"/>
        </w:rPr>
        <w:t>.</w:t>
      </w:r>
      <w:r>
        <w:rPr>
          <w:rFonts w:eastAsia="Times New Roman" w:cs="Libertinus Serif"/>
          <w:szCs w:val="20"/>
          <w:lang w:val="en-US"/>
        </w:rPr>
        <w:tab/>
      </w:r>
      <w:r>
        <w:rPr>
          <w:rFonts w:eastAsia="Times New Roman" w:cs="Libertinus Serif"/>
          <w:szCs w:val="20"/>
          <w:lang w:val="en-US"/>
        </w:rPr>
        <w:br/>
      </w:r>
      <w:r w:rsidRPr="00E85B33">
        <w:rPr>
          <w:rFonts w:eastAsia="Times New Roman" w:cs="Libertinus Serif"/>
          <w:szCs w:val="20"/>
          <w:lang w:val="de-DE"/>
        </w:rPr>
        <w:t xml:space="preserve">b. Paul ist </w:t>
      </w:r>
      <w:r w:rsidRPr="00E85B33">
        <w:rPr>
          <w:rFonts w:eastAsia="Times New Roman" w:cs="Libertinus Serif"/>
          <w:i/>
          <w:szCs w:val="20"/>
          <w:lang w:val="de-DE"/>
        </w:rPr>
        <w:t>doch</w:t>
      </w:r>
      <w:r w:rsidRPr="00E85B33">
        <w:rPr>
          <w:rFonts w:eastAsia="Times New Roman" w:cs="Libertinus Serif"/>
          <w:szCs w:val="20"/>
          <w:lang w:val="de-DE"/>
        </w:rPr>
        <w:t xml:space="preserve"> k</w:t>
      </w:r>
      <w:r>
        <w:rPr>
          <w:rFonts w:eastAsia="Times New Roman" w:cs="Libertinus Serif"/>
          <w:szCs w:val="20"/>
          <w:lang w:val="de-DE"/>
        </w:rPr>
        <w:t>rank.</w:t>
      </w:r>
      <w:r>
        <w:rPr>
          <w:rFonts w:eastAsia="Times New Roman" w:cs="Libertinus Serif"/>
          <w:szCs w:val="20"/>
          <w:lang w:val="de-DE"/>
        </w:rPr>
        <w:tab/>
      </w:r>
      <w:r>
        <w:rPr>
          <w:rFonts w:eastAsia="Times New Roman" w:cs="Libertinus Serif"/>
          <w:szCs w:val="20"/>
          <w:lang w:val="de-DE"/>
        </w:rPr>
        <w:br/>
      </w:r>
      <w:r w:rsidRPr="0044372D">
        <w:rPr>
          <w:rFonts w:cs="Libertinus Serif"/>
          <w:lang w:val="de-DE"/>
        </w:rPr>
        <w:t xml:space="preserve">‘Paul </w:t>
      </w:r>
      <w:proofErr w:type="spellStart"/>
      <w:r w:rsidRPr="0044372D">
        <w:rPr>
          <w:rFonts w:cs="Libertinus Serif"/>
          <w:lang w:val="de-DE"/>
        </w:rPr>
        <w:t>is</w:t>
      </w:r>
      <w:proofErr w:type="spellEnd"/>
      <w:r w:rsidRPr="0044372D">
        <w:rPr>
          <w:rFonts w:cs="Libertinus Serif"/>
          <w:lang w:val="de-DE"/>
        </w:rPr>
        <w:t xml:space="preserve"> PART sick.’</w:t>
      </w:r>
      <w:r w:rsidRPr="0044372D">
        <w:rPr>
          <w:rFonts w:cs="Libertinus Serif"/>
          <w:lang w:val="de-DE"/>
        </w:rPr>
        <w:tab/>
      </w:r>
      <w:r w:rsidRPr="0044372D">
        <w:rPr>
          <w:rFonts w:cs="Libertinus Serif"/>
          <w:lang w:val="de-DE"/>
        </w:rPr>
        <w:tab/>
      </w:r>
      <w:r w:rsidRPr="0044372D">
        <w:rPr>
          <w:rFonts w:cs="Libertinus Serif"/>
          <w:lang w:val="de-DE"/>
        </w:rPr>
        <w:tab/>
      </w:r>
      <w:r w:rsidRPr="0044372D">
        <w:rPr>
          <w:rFonts w:cs="Libertinus Serif"/>
          <w:lang w:val="de-DE"/>
        </w:rPr>
        <w:tab/>
      </w:r>
    </w:p>
    <w:p w14:paraId="292D41B5" w14:textId="5A83F863" w:rsidR="0044372D" w:rsidRPr="0044372D" w:rsidRDefault="0044372D" w:rsidP="0044372D">
      <w:pPr>
        <w:rPr>
          <w:lang w:val="en"/>
        </w:rPr>
      </w:pPr>
      <w:r w:rsidRPr="0044372D">
        <w:rPr>
          <w:lang w:val="en"/>
        </w:rPr>
        <w:t xml:space="preserve">Between 1980 and 2010, there has been some research on the equivalence of (modal) particles in Czech and German. Researchers identify and discuss equivalent pairs of particles in both languages, sometimes based on corpora of translated literature </w:t>
      </w:r>
      <w:r w:rsidR="001E4E6F">
        <w:rPr>
          <w:lang w:val="en"/>
        </w:rPr>
        <w:fldChar w:fldCharType="begin"/>
      </w:r>
      <w:r w:rsidR="001E4E6F">
        <w:rPr>
          <w:lang w:val="en"/>
        </w:rPr>
        <w:instrText xml:space="preserve"> ADDIN ZOTERO_ITEM CSL_CITATION {"citationID":"NmdcYQeO","properties":{"formattedCitation":"(Masa\\uc0\\u345{}ic 1982; Birckmann 1991; Sp\\uc0\\u277{}v\\uc0\\u225{}kov\\uc0\\u225{} 1992; Nekula 1996; Rinas 2006, 2010)","plainCitation":"(Masařic 1982; Birckmann 1991; Spĕváková 1992; Nekula 1996; Rinas 2006, 2010)","noteIndex":0},"citationItems":[{"id":1224,"uris":["http://zotero.org/users/8361915/items/TB8W6Q8C"],"itemData":{"id":1224,"type":"article-journal","container-title":"Brünner Beiträge zur Germanistik und Nordistik","page":"21-35","title":"Vorüberlegungen zu den sog. Satzadverbien im Deutschen und Tschechischen","volume":"3","author":[{"family":"Masařic","given":"Zdenĕk"}],"issued":{"date-parts":[["1982"]]}}},{"id":1235,"uris":["http://zotero.org/users/8361915/items/W3GNG9L5"],"itemData":{"id":1235,"type":"manuscript","genre":"Magisterarbeit an der FU Berlin","title":"Die tschechischen Äquivalente zu den deutschen Partikeln denn, doch und ja.","author":[{"family":"Birckmann","given":"Holger"}],"issued":{"date-parts":[["1991"]]}}},{"id":1226,"uris":["http://zotero.org/users/8361915/items/2JQ2HG8Q"],"itemData":{"id":1226,"type":"article-journal","container-title":"Brünner Beiträge zur Germanistik und Nordistik","page":"43-57","title":"Zu einigen Übersetzungsmöglichkeiten der deutschen Abtönungspartikeln ins Tschechische","volume":"8","author":[{"family":"Spĕváková","given":"Dana"}],"issued":{"date-parts":[["1992"]]}}},{"id":1093,"uris":["http://zotero.org/users/8361915/items/Z8I96Z2E"],"itemData":{"id":1093,"type":"book","collection-number":"355","collection-title":"Linguistische Arbeiten","event-place":"Tübingen","ISBN":"978-3-484-30355-3","language":"de","number-of-pages":"220","publisher":"Niemeyer","publisher-place":"Tübingen","source":"K10plus ISBN","title":"System der Partikeln im Deutschen und Tschechischen: unter besonderer Berücksichtigung der Abtönungspartikeln","title-short":"System der Partikeln im Deutschen und Tschechischen","author":[{"family":"Nekula","given":"Marek"}],"issued":{"date-parts":[["1996"]]}}},{"id":1098,"uris":["http://zotero.org/users/8361915/items/NUFULN9W"],"itemData":{"id":1098,"type":"article-journal","container-title":"brücken: Germanistisches Jahrbuch Tschechien - Slowakei","language":"de","page":"331-339","source":"Zotero","title":"Abtönungspartikeln, das Mittelfeld und die Wackernagelposition","author":[{"family":"Rinas","given":"Karsten"}],"issued":{"date-parts":[["2006"]]}}},{"id":1100,"uris":["http://zotero.org/users/8361915/items/NGV39TCL"],"itemData":{"id":1100,"type":"article-journal","container-title":"Acta Facultatis Philosophicae Universitatis Ostraviensis. Studia Germanistica","language":"de","page":"113-128","source":"Zotero","title":"Partikeln als semantische Mumien: Zur Bedeutung von wohl, vielleicht und snad in Ausrufesätzen","volume":"6","author":[{"family":"Rinas","given":"Karsten"}],"issued":{"date-parts":[["2010"]]}}}],"schema":"https://github.com/citation-style-language/schema/raw/master/csl-citation.json"} </w:instrText>
      </w:r>
      <w:r w:rsidR="001E4E6F">
        <w:rPr>
          <w:lang w:val="en"/>
        </w:rPr>
        <w:fldChar w:fldCharType="separate"/>
      </w:r>
      <w:r w:rsidR="001E4E6F" w:rsidRPr="001E4E6F">
        <w:rPr>
          <w:rFonts w:cs="Libertinus Serif"/>
          <w:szCs w:val="24"/>
        </w:rPr>
        <w:t>(Masařic 1982; Birckmann 1991; Spĕváková 1992; Nekula 1996; Rinas 2006, 2010)</w:t>
      </w:r>
      <w:r w:rsidR="001E4E6F">
        <w:rPr>
          <w:lang w:val="en"/>
        </w:rPr>
        <w:fldChar w:fldCharType="end"/>
      </w:r>
      <w:r w:rsidRPr="0044372D">
        <w:rPr>
          <w:lang w:val="en"/>
        </w:rPr>
        <w:t xml:space="preserve">. While most of the existing literature focuses on the comparison of German </w:t>
      </w:r>
      <w:proofErr w:type="spellStart"/>
      <w:r w:rsidRPr="0044372D">
        <w:rPr>
          <w:i/>
          <w:iCs/>
          <w:lang w:val="en"/>
        </w:rPr>
        <w:t>denn</w:t>
      </w:r>
      <w:proofErr w:type="spellEnd"/>
      <w:r w:rsidRPr="0044372D">
        <w:rPr>
          <w:lang w:val="en"/>
        </w:rPr>
        <w:t xml:space="preserve">, </w:t>
      </w:r>
      <w:proofErr w:type="spellStart"/>
      <w:r w:rsidRPr="0044372D">
        <w:rPr>
          <w:i/>
          <w:iCs/>
          <w:lang w:val="en"/>
        </w:rPr>
        <w:t>doch</w:t>
      </w:r>
      <w:proofErr w:type="spellEnd"/>
      <w:r w:rsidRPr="0044372D">
        <w:rPr>
          <w:lang w:val="en"/>
        </w:rPr>
        <w:t xml:space="preserve">, and </w:t>
      </w:r>
      <w:r w:rsidRPr="0044372D">
        <w:rPr>
          <w:i/>
          <w:iCs/>
          <w:lang w:val="en"/>
        </w:rPr>
        <w:t>ja</w:t>
      </w:r>
      <w:r w:rsidRPr="0044372D">
        <w:rPr>
          <w:lang w:val="en"/>
        </w:rPr>
        <w:t xml:space="preserve"> to possible Czech equivalents like </w:t>
      </w:r>
      <w:proofErr w:type="spellStart"/>
      <w:r w:rsidRPr="0044372D">
        <w:rPr>
          <w:i/>
          <w:iCs/>
          <w:lang w:val="en"/>
        </w:rPr>
        <w:t>přece</w:t>
      </w:r>
      <w:proofErr w:type="spellEnd"/>
      <w:r w:rsidRPr="0044372D">
        <w:rPr>
          <w:lang w:val="en"/>
        </w:rPr>
        <w:t xml:space="preserve">, </w:t>
      </w:r>
      <w:proofErr w:type="spellStart"/>
      <w:r w:rsidRPr="0044372D">
        <w:rPr>
          <w:i/>
          <w:iCs/>
          <w:lang w:val="en"/>
        </w:rPr>
        <w:t>vždyť</w:t>
      </w:r>
      <w:proofErr w:type="spellEnd"/>
      <w:r w:rsidRPr="0044372D">
        <w:rPr>
          <w:lang w:val="en"/>
        </w:rPr>
        <w:t xml:space="preserve">, </w:t>
      </w:r>
      <w:proofErr w:type="spellStart"/>
      <w:r w:rsidRPr="0044372D">
        <w:rPr>
          <w:i/>
          <w:iCs/>
          <w:lang w:val="en"/>
        </w:rPr>
        <w:t>však</w:t>
      </w:r>
      <w:proofErr w:type="spellEnd"/>
      <w:r w:rsidRPr="0044372D">
        <w:rPr>
          <w:lang w:val="en"/>
        </w:rPr>
        <w:t xml:space="preserve">, and </w:t>
      </w:r>
      <w:proofErr w:type="spellStart"/>
      <w:r w:rsidRPr="0044372D">
        <w:rPr>
          <w:i/>
          <w:iCs/>
          <w:lang w:val="en"/>
        </w:rPr>
        <w:t>copak</w:t>
      </w:r>
      <w:proofErr w:type="spellEnd"/>
      <w:r w:rsidRPr="0044372D">
        <w:rPr>
          <w:lang w:val="en"/>
        </w:rPr>
        <w:t xml:space="preserve">, other pairs have been studied less frequently. One of these combinations is the German particle </w:t>
      </w:r>
      <w:proofErr w:type="spellStart"/>
      <w:r w:rsidRPr="0044372D">
        <w:rPr>
          <w:i/>
          <w:iCs/>
          <w:lang w:val="en"/>
        </w:rPr>
        <w:t>wohl</w:t>
      </w:r>
      <w:proofErr w:type="spellEnd"/>
      <w:r w:rsidRPr="0044372D">
        <w:rPr>
          <w:lang w:val="en"/>
        </w:rPr>
        <w:t xml:space="preserve"> and its possible equivalents </w:t>
      </w:r>
      <w:proofErr w:type="spellStart"/>
      <w:r w:rsidRPr="0044372D">
        <w:rPr>
          <w:i/>
          <w:iCs/>
          <w:lang w:val="en"/>
        </w:rPr>
        <w:t>snad</w:t>
      </w:r>
      <w:proofErr w:type="spellEnd"/>
      <w:r w:rsidRPr="0044372D">
        <w:rPr>
          <w:lang w:val="en"/>
        </w:rPr>
        <w:t xml:space="preserve"> in exclamative </w:t>
      </w:r>
      <w:r w:rsidR="009F6CA7">
        <w:rPr>
          <w:lang w:val="en"/>
        </w:rPr>
        <w:fldChar w:fldCharType="begin"/>
      </w:r>
      <w:r w:rsidR="009F6CA7">
        <w:rPr>
          <w:lang w:val="en"/>
        </w:rPr>
        <w:instrText xml:space="preserve"> ADDIN ZOTERO_ITEM CSL_CITATION {"citationID":"zRUomxts","properties":{"formattedCitation":"(Rinas 2010)","plainCitation":"(Rinas 2010)","noteIndex":0},"citationItems":[{"id":1100,"uris":["http://zotero.org/users/8361915/items/NGV39TCL"],"itemData":{"id":1100,"type":"article-journal","container-title":"Acta Facultatis Philosophicae Universitatis Ostraviensis. Studia Germanistica","language":"de","page":"113-128","source":"Zotero","title":"Partikeln als semantische Mumien: Zur Bedeutung von wohl, vielleicht und snad in Ausrufesätzen","volume":"6","author":[{"family":"Rinas","given":"Karsten"}],"issued":{"date-parts":[["2010"]]}}}],"schema":"https://github.com/citation-style-language/schema/raw/master/csl-citation.json"} </w:instrText>
      </w:r>
      <w:r w:rsidR="009F6CA7">
        <w:rPr>
          <w:lang w:val="en"/>
        </w:rPr>
        <w:fldChar w:fldCharType="separate"/>
      </w:r>
      <w:r w:rsidR="009F6CA7" w:rsidRPr="009F6CA7">
        <w:rPr>
          <w:rFonts w:cs="Libertinus Serif"/>
        </w:rPr>
        <w:t>(Rinas 2010)</w:t>
      </w:r>
      <w:r w:rsidR="009F6CA7">
        <w:rPr>
          <w:lang w:val="en"/>
        </w:rPr>
        <w:fldChar w:fldCharType="end"/>
      </w:r>
      <w:r w:rsidRPr="0044372D">
        <w:rPr>
          <w:lang w:val="en"/>
        </w:rPr>
        <w:t xml:space="preserve"> and </w:t>
      </w:r>
      <w:proofErr w:type="spellStart"/>
      <w:r w:rsidRPr="0044372D">
        <w:rPr>
          <w:i/>
          <w:iCs/>
          <w:lang w:val="en"/>
        </w:rPr>
        <w:t>asi</w:t>
      </w:r>
      <w:proofErr w:type="spellEnd"/>
      <w:r w:rsidRPr="0044372D">
        <w:rPr>
          <w:i/>
          <w:iCs/>
          <w:lang w:val="en"/>
        </w:rPr>
        <w:t xml:space="preserve"> </w:t>
      </w:r>
      <w:r w:rsidRPr="0044372D">
        <w:rPr>
          <w:lang w:val="en"/>
        </w:rPr>
        <w:t xml:space="preserve">in declarative </w:t>
      </w:r>
      <w:r w:rsidR="009F6CA7">
        <w:rPr>
          <w:lang w:val="en"/>
        </w:rPr>
        <w:fldChar w:fldCharType="begin"/>
      </w:r>
      <w:r w:rsidR="009F6CA7">
        <w:rPr>
          <w:lang w:val="en"/>
        </w:rPr>
        <w:instrText xml:space="preserve"> ADDIN ZOTERO_ITEM CSL_CITATION {"citationID":"xIzR94j7","properties":{"formattedCitation":"(Masa\\uc0\\u345{}ic 1982)","plainCitation":"(Masařic 1982)","noteIndex":0},"citationItems":[{"id":1224,"uris":["http://zotero.org/users/8361915/items/TB8W6Q8C"],"itemData":{"id":1224,"type":"article-journal","container-title":"Brünner Beiträge zur Germanistik und Nordistik","page":"21-35","title":"Vorüberlegungen zu den sog. Satzadverbien im Deutschen und Tschechischen","volume":"3","author":[{"family":"Masařic","given":"Zdenĕk"}],"issued":{"date-parts":[["1982"]]}}}],"schema":"https://github.com/citation-style-language/schema/raw/master/csl-citation.json"} </w:instrText>
      </w:r>
      <w:r w:rsidR="009F6CA7">
        <w:rPr>
          <w:lang w:val="en"/>
        </w:rPr>
        <w:fldChar w:fldCharType="separate"/>
      </w:r>
      <w:r w:rsidR="009F6CA7" w:rsidRPr="009F6CA7">
        <w:rPr>
          <w:rFonts w:cs="Libertinus Serif"/>
          <w:szCs w:val="24"/>
        </w:rPr>
        <w:t>(Masařic 1982)</w:t>
      </w:r>
      <w:r w:rsidR="009F6CA7">
        <w:rPr>
          <w:lang w:val="en"/>
        </w:rPr>
        <w:fldChar w:fldCharType="end"/>
      </w:r>
      <w:r w:rsidR="00D2372C">
        <w:rPr>
          <w:lang w:val="en"/>
        </w:rPr>
        <w:t xml:space="preserve"> sentences</w:t>
      </w:r>
      <w:r w:rsidRPr="0044372D">
        <w:rPr>
          <w:lang w:val="en"/>
        </w:rPr>
        <w:t>.</w:t>
      </w:r>
    </w:p>
    <w:p w14:paraId="483E7B9E" w14:textId="6726F0D5" w:rsidR="0044372D" w:rsidRPr="0044372D" w:rsidRDefault="0044372D" w:rsidP="0044372D">
      <w:pPr>
        <w:rPr>
          <w:lang w:val="en"/>
        </w:rPr>
      </w:pPr>
      <w:r w:rsidRPr="0044372D">
        <w:rPr>
          <w:lang w:val="en"/>
        </w:rPr>
        <w:t xml:space="preserve">Since previous corpus studies have been based on corpora of translated literature, we conduct a corpus study comparing the use of the modal particles </w:t>
      </w:r>
      <w:proofErr w:type="spellStart"/>
      <w:r w:rsidRPr="0044372D">
        <w:rPr>
          <w:i/>
          <w:iCs/>
          <w:lang w:val="en"/>
        </w:rPr>
        <w:t>asi</w:t>
      </w:r>
      <w:proofErr w:type="spellEnd"/>
      <w:r w:rsidRPr="0044372D">
        <w:rPr>
          <w:lang w:val="en"/>
        </w:rPr>
        <w:t xml:space="preserve"> and </w:t>
      </w:r>
      <w:proofErr w:type="spellStart"/>
      <w:r w:rsidRPr="0044372D">
        <w:rPr>
          <w:i/>
          <w:iCs/>
          <w:lang w:val="en"/>
        </w:rPr>
        <w:t>snad</w:t>
      </w:r>
      <w:proofErr w:type="spellEnd"/>
      <w:r w:rsidRPr="0044372D">
        <w:rPr>
          <w:lang w:val="en"/>
        </w:rPr>
        <w:t xml:space="preserve"> in Czech and </w:t>
      </w:r>
      <w:proofErr w:type="spellStart"/>
      <w:r w:rsidRPr="0044372D">
        <w:rPr>
          <w:i/>
          <w:iCs/>
          <w:lang w:val="en"/>
        </w:rPr>
        <w:t>wohl</w:t>
      </w:r>
      <w:proofErr w:type="spellEnd"/>
      <w:r w:rsidRPr="0044372D">
        <w:rPr>
          <w:lang w:val="en"/>
        </w:rPr>
        <w:t xml:space="preserve"> in German using the recent TED2020 corpus. TED2020 contains transcripts of TED and TED-X talks from July 2020 that have been translated by volunteers to many different languages</w:t>
      </w:r>
      <w:r w:rsidRPr="0044372D">
        <w:rPr>
          <w:vertAlign w:val="superscript"/>
          <w:lang w:val="en"/>
        </w:rPr>
        <w:footnoteReference w:id="2"/>
      </w:r>
      <w:r w:rsidRPr="0044372D">
        <w:rPr>
          <w:lang w:val="en"/>
        </w:rPr>
        <w:t xml:space="preserve"> and aligned on a sentence level. The parallel data are available through the open parallel corpus OPUS</w:t>
      </w:r>
      <w:r w:rsidR="00A8107F">
        <w:rPr>
          <w:lang w:val="en"/>
        </w:rPr>
        <w:t xml:space="preserve"> </w:t>
      </w:r>
      <w:r w:rsidR="00A8107F">
        <w:rPr>
          <w:lang w:val="en"/>
        </w:rPr>
        <w:fldChar w:fldCharType="begin"/>
      </w:r>
      <w:r w:rsidR="00A8107F">
        <w:rPr>
          <w:lang w:val="en"/>
        </w:rPr>
        <w:instrText xml:space="preserve"> ADDIN ZOTERO_ITEM CSL_CITATION {"citationID":"p0Ilkh4Q","properties":{"formattedCitation":"(Tiedemann 2012)","plainCitation":"(Tiedemann 2012)","noteIndex":0},"citationItems":[{"id":1234,"uris":["http://zotero.org/users/8361915/items/M2ZUUZXV"],"itemData":{"id":1234,"type":"paper-conference","container-title":"Proceedings of the 8th International Conference on Language Resources and Evaluation (LREC 2012)","title":"Parallel Data, Tools and Interfaces in OPUS","author":[{"family":"Tiedemann","given":"Joerg"}],"issued":{"date-parts":[["2012"]]}}}],"schema":"https://github.com/citation-style-language/schema/raw/master/csl-citation.json"} </w:instrText>
      </w:r>
      <w:r w:rsidR="00A8107F">
        <w:rPr>
          <w:lang w:val="en"/>
        </w:rPr>
        <w:fldChar w:fldCharType="separate"/>
      </w:r>
      <w:r w:rsidR="00A8107F" w:rsidRPr="00A8107F">
        <w:rPr>
          <w:rFonts w:cs="Libertinus Serif"/>
        </w:rPr>
        <w:t>(Tiedemann 2012)</w:t>
      </w:r>
      <w:r w:rsidR="00A8107F">
        <w:rPr>
          <w:lang w:val="en"/>
        </w:rPr>
        <w:fldChar w:fldCharType="end"/>
      </w:r>
      <w:r w:rsidRPr="0044372D">
        <w:rPr>
          <w:lang w:val="en"/>
        </w:rPr>
        <w:t>.</w:t>
      </w:r>
      <w:r w:rsidRPr="0044372D">
        <w:rPr>
          <w:vertAlign w:val="superscript"/>
          <w:lang w:val="en"/>
        </w:rPr>
        <w:footnoteReference w:id="3"/>
      </w:r>
      <w:r w:rsidRPr="0044372D">
        <w:rPr>
          <w:lang w:val="en"/>
        </w:rPr>
        <w:t xml:space="preserve"> In total, the parallel corpus of Czech and German transcripts contains 154,626 sentence pairs (~4.49M token</w:t>
      </w:r>
      <w:r w:rsidR="00D2372C">
        <w:rPr>
          <w:lang w:val="en"/>
        </w:rPr>
        <w:t>s</w:t>
      </w:r>
      <w:r w:rsidRPr="0044372D">
        <w:rPr>
          <w:lang w:val="en"/>
        </w:rPr>
        <w:t xml:space="preserve">). We use a sub-corpus of </w:t>
      </w:r>
      <w:r w:rsidR="00381709">
        <w:rPr>
          <w:lang w:val="en"/>
        </w:rPr>
        <w:t>600</w:t>
      </w:r>
      <w:r w:rsidRPr="0044372D">
        <w:rPr>
          <w:lang w:val="en"/>
        </w:rPr>
        <w:t xml:space="preserve"> sentence pairs (2</w:t>
      </w:r>
      <w:r w:rsidR="00381709">
        <w:rPr>
          <w:lang w:val="en"/>
        </w:rPr>
        <w:t>0</w:t>
      </w:r>
      <w:r w:rsidRPr="0044372D">
        <w:rPr>
          <w:lang w:val="en"/>
        </w:rPr>
        <w:t>0 sentence pairs per particle, 13,</w:t>
      </w:r>
      <w:r w:rsidR="00381709">
        <w:rPr>
          <w:lang w:val="en"/>
        </w:rPr>
        <w:t>4</w:t>
      </w:r>
      <w:r w:rsidRPr="0044372D">
        <w:rPr>
          <w:lang w:val="en"/>
        </w:rPr>
        <w:t>86 token</w:t>
      </w:r>
      <w:r w:rsidR="00D2372C">
        <w:rPr>
          <w:lang w:val="en"/>
        </w:rPr>
        <w:t>s</w:t>
      </w:r>
      <w:r w:rsidRPr="0044372D">
        <w:rPr>
          <w:lang w:val="en"/>
        </w:rPr>
        <w:t>).</w:t>
      </w:r>
    </w:p>
    <w:p w14:paraId="20194573" w14:textId="024FE95B" w:rsidR="0044372D" w:rsidRPr="0044372D" w:rsidRDefault="0044372D" w:rsidP="0044372D">
      <w:pPr>
        <w:rPr>
          <w:lang w:val="en"/>
        </w:rPr>
      </w:pPr>
      <w:r w:rsidRPr="0044372D">
        <w:rPr>
          <w:lang w:val="en"/>
        </w:rPr>
        <w:t xml:space="preserve">This corpus allows us to study how speakers of different languages translate </w:t>
      </w:r>
      <w:r w:rsidR="00D2372C">
        <w:rPr>
          <w:lang w:val="en"/>
        </w:rPr>
        <w:t xml:space="preserve">a </w:t>
      </w:r>
      <w:r w:rsidRPr="0044372D">
        <w:rPr>
          <w:lang w:val="en"/>
        </w:rPr>
        <w:t>speaker</w:t>
      </w:r>
      <w:r w:rsidR="00751CAF">
        <w:rPr>
          <w:lang w:val="en"/>
        </w:rPr>
        <w:t>’s degree of confidence</w:t>
      </w:r>
      <w:r w:rsidRPr="0044372D">
        <w:rPr>
          <w:lang w:val="en"/>
        </w:rPr>
        <w:t xml:space="preserve"> and attitude expressed in English into Czech and German. We use the aligned transcripts to contrast the different translations, comparing whether a sentence that </w:t>
      </w:r>
      <w:r w:rsidRPr="0044372D">
        <w:rPr>
          <w:lang w:val="en"/>
        </w:rPr>
        <w:lastRenderedPageBreak/>
        <w:t xml:space="preserve">is translated to Czech using </w:t>
      </w:r>
      <w:proofErr w:type="spellStart"/>
      <w:r w:rsidRPr="0044372D">
        <w:rPr>
          <w:i/>
          <w:iCs/>
          <w:lang w:val="en"/>
        </w:rPr>
        <w:t>asi</w:t>
      </w:r>
      <w:proofErr w:type="spellEnd"/>
      <w:r w:rsidRPr="0044372D">
        <w:rPr>
          <w:lang w:val="en"/>
        </w:rPr>
        <w:t xml:space="preserve"> or </w:t>
      </w:r>
      <w:proofErr w:type="spellStart"/>
      <w:r w:rsidRPr="0044372D">
        <w:rPr>
          <w:i/>
          <w:iCs/>
          <w:lang w:val="en"/>
        </w:rPr>
        <w:t>snad</w:t>
      </w:r>
      <w:proofErr w:type="spellEnd"/>
      <w:r w:rsidRPr="0044372D">
        <w:rPr>
          <w:lang w:val="en"/>
        </w:rPr>
        <w:t xml:space="preserve"> is translated to German using </w:t>
      </w:r>
      <w:proofErr w:type="spellStart"/>
      <w:r w:rsidRPr="0044372D">
        <w:rPr>
          <w:i/>
          <w:iCs/>
          <w:lang w:val="en"/>
        </w:rPr>
        <w:t>wohl</w:t>
      </w:r>
      <w:proofErr w:type="spellEnd"/>
      <w:r w:rsidRPr="0044372D">
        <w:rPr>
          <w:lang w:val="en"/>
        </w:rPr>
        <w:t xml:space="preserve"> or any other type of stance marker. In the same way, we compare sentences with </w:t>
      </w:r>
      <w:proofErr w:type="spellStart"/>
      <w:r w:rsidRPr="0044372D">
        <w:rPr>
          <w:i/>
          <w:iCs/>
          <w:lang w:val="en"/>
        </w:rPr>
        <w:t>wohl</w:t>
      </w:r>
      <w:proofErr w:type="spellEnd"/>
      <w:r w:rsidRPr="0044372D">
        <w:rPr>
          <w:lang w:val="en"/>
        </w:rPr>
        <w:t xml:space="preserve"> to the Czech translations.</w:t>
      </w:r>
    </w:p>
    <w:p w14:paraId="048A1995" w14:textId="70411585" w:rsidR="0044372D" w:rsidRDefault="0044372D" w:rsidP="0044372D">
      <w:pPr>
        <w:rPr>
          <w:lang w:val="en"/>
        </w:rPr>
      </w:pPr>
      <w:r w:rsidRPr="0044372D">
        <w:rPr>
          <w:lang w:val="en"/>
        </w:rPr>
        <w:t xml:space="preserve">Our results show that there is variety in the marker of </w:t>
      </w:r>
      <w:r w:rsidR="00751CAF">
        <w:rPr>
          <w:lang w:val="en"/>
        </w:rPr>
        <w:t>confidence</w:t>
      </w:r>
      <w:r w:rsidRPr="0044372D">
        <w:rPr>
          <w:lang w:val="en"/>
        </w:rPr>
        <w:t xml:space="preserve"> or attitude translators choose, ranging from the expected (or other) modal particles to adverbs, phrases, or no realization at all, see table 1 for an overview on parallel translations of </w:t>
      </w:r>
      <w:proofErr w:type="spellStart"/>
      <w:r w:rsidRPr="0044372D">
        <w:rPr>
          <w:i/>
          <w:iCs/>
          <w:lang w:val="en"/>
        </w:rPr>
        <w:t>snad</w:t>
      </w:r>
      <w:proofErr w:type="spellEnd"/>
      <w:r w:rsidRPr="0044372D">
        <w:rPr>
          <w:lang w:val="en"/>
        </w:rPr>
        <w:t>.</w:t>
      </w:r>
    </w:p>
    <w:tbl>
      <w:tblPr>
        <w:tblpPr w:leftFromText="180" w:rightFromText="180" w:vertAnchor="text" w:horzAnchor="margin" w:tblpY="242"/>
        <w:tblW w:w="8217" w:type="dxa"/>
        <w:tblLayout w:type="fixed"/>
        <w:tblLook w:val="0000" w:firstRow="0" w:lastRow="0" w:firstColumn="0" w:lastColumn="0" w:noHBand="0" w:noVBand="0"/>
      </w:tblPr>
      <w:tblGrid>
        <w:gridCol w:w="1129"/>
        <w:gridCol w:w="709"/>
        <w:gridCol w:w="709"/>
        <w:gridCol w:w="992"/>
        <w:gridCol w:w="992"/>
        <w:gridCol w:w="993"/>
        <w:gridCol w:w="992"/>
        <w:gridCol w:w="850"/>
        <w:gridCol w:w="851"/>
      </w:tblGrid>
      <w:tr w:rsidR="0008241D" w14:paraId="666DDF88" w14:textId="64D19FE5" w:rsidTr="0033341F">
        <w:tc>
          <w:tcPr>
            <w:tcW w:w="1129" w:type="dxa"/>
            <w:tcBorders>
              <w:top w:val="single" w:sz="4" w:space="0" w:color="000000"/>
              <w:left w:val="single" w:sz="4" w:space="0" w:color="000000"/>
              <w:bottom w:val="single" w:sz="4" w:space="0" w:color="000000"/>
              <w:right w:val="single" w:sz="4" w:space="0" w:color="000000"/>
            </w:tcBorders>
          </w:tcPr>
          <w:p w14:paraId="04F54264" w14:textId="3007496C" w:rsidR="0008241D" w:rsidRDefault="0008241D" w:rsidP="00797886">
            <w:pPr>
              <w:pStyle w:val="Tabellenberschrift"/>
              <w:widowControl/>
              <w:suppressAutoHyphens/>
              <w:spacing w:before="0"/>
            </w:pPr>
          </w:p>
        </w:tc>
        <w:tc>
          <w:tcPr>
            <w:tcW w:w="709" w:type="dxa"/>
            <w:tcBorders>
              <w:top w:val="single" w:sz="4" w:space="0" w:color="000000"/>
              <w:left w:val="single" w:sz="4" w:space="0" w:color="000000"/>
              <w:bottom w:val="single" w:sz="4" w:space="0" w:color="000000"/>
              <w:right w:val="single" w:sz="4" w:space="0" w:color="000000"/>
            </w:tcBorders>
          </w:tcPr>
          <w:p w14:paraId="5000A1A3" w14:textId="651BAD74" w:rsidR="0008241D" w:rsidRPr="0033341F" w:rsidRDefault="004D3B9E" w:rsidP="00797886">
            <w:pPr>
              <w:pStyle w:val="Tabellenberschrift"/>
              <w:widowControl/>
              <w:suppressAutoHyphens/>
              <w:spacing w:before="0"/>
              <w:rPr>
                <w:sz w:val="20"/>
                <w:szCs w:val="20"/>
              </w:rPr>
            </w:pPr>
            <w:proofErr w:type="spellStart"/>
            <w:r w:rsidRPr="0033341F">
              <w:rPr>
                <w:rStyle w:val="Strong"/>
                <w:rFonts w:ascii="Calibri" w:hAnsi="Calibri"/>
                <w:b/>
                <w:sz w:val="20"/>
                <w:szCs w:val="20"/>
              </w:rPr>
              <w:t>snad</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4345C39B" w14:textId="7E58164E" w:rsidR="0008241D" w:rsidRPr="0033341F" w:rsidRDefault="004D3B9E" w:rsidP="00797886">
            <w:pPr>
              <w:pStyle w:val="Tabellenberschrift"/>
              <w:widowControl/>
              <w:suppressAutoHyphens/>
              <w:spacing w:before="0"/>
              <w:rPr>
                <w:sz w:val="20"/>
                <w:szCs w:val="20"/>
              </w:rPr>
            </w:pPr>
            <w:proofErr w:type="spellStart"/>
            <w:r w:rsidRPr="0033341F">
              <w:rPr>
                <w:rStyle w:val="Strong"/>
                <w:rFonts w:ascii="Calibri" w:hAnsi="Calibri"/>
                <w:b/>
                <w:sz w:val="20"/>
                <w:szCs w:val="20"/>
              </w:rPr>
              <w:t>wohl</w:t>
            </w:r>
            <w:proofErr w:type="spellEnd"/>
          </w:p>
        </w:tc>
        <w:tc>
          <w:tcPr>
            <w:tcW w:w="992" w:type="dxa"/>
            <w:tcBorders>
              <w:top w:val="single" w:sz="4" w:space="0" w:color="000000"/>
              <w:left w:val="single" w:sz="4" w:space="0" w:color="000000"/>
              <w:bottom w:val="single" w:sz="4" w:space="0" w:color="000000"/>
              <w:right w:val="single" w:sz="4" w:space="0" w:color="000000"/>
            </w:tcBorders>
          </w:tcPr>
          <w:p w14:paraId="6F78F696" w14:textId="5292FCF8" w:rsidR="0008241D" w:rsidRPr="0033341F" w:rsidRDefault="004D3B9E" w:rsidP="00797886">
            <w:pPr>
              <w:pStyle w:val="Tabellenberschrift"/>
              <w:widowControl/>
              <w:suppressAutoHyphens/>
              <w:spacing w:before="0"/>
              <w:rPr>
                <w:rStyle w:val="Strong"/>
                <w:rFonts w:ascii="Calibri" w:hAnsi="Calibri"/>
                <w:b/>
                <w:sz w:val="20"/>
                <w:szCs w:val="20"/>
              </w:rPr>
            </w:pPr>
            <w:proofErr w:type="spellStart"/>
            <w:r w:rsidRPr="0033341F">
              <w:rPr>
                <w:rStyle w:val="Strong"/>
                <w:rFonts w:ascii="Calibri" w:hAnsi="Calibri"/>
                <w:b/>
                <w:sz w:val="20"/>
                <w:szCs w:val="20"/>
              </w:rPr>
              <w:t>vielleicht</w:t>
            </w:r>
            <w:proofErr w:type="spellEnd"/>
          </w:p>
        </w:tc>
        <w:tc>
          <w:tcPr>
            <w:tcW w:w="992" w:type="dxa"/>
            <w:tcBorders>
              <w:top w:val="single" w:sz="4" w:space="0" w:color="000000"/>
              <w:left w:val="single" w:sz="4" w:space="0" w:color="000000"/>
              <w:bottom w:val="single" w:sz="4" w:space="0" w:color="000000"/>
              <w:right w:val="single" w:sz="4" w:space="0" w:color="000000"/>
            </w:tcBorders>
          </w:tcPr>
          <w:p w14:paraId="0E98D759" w14:textId="53AB92DD" w:rsidR="0008241D" w:rsidRPr="0033341F" w:rsidRDefault="004D3B9E" w:rsidP="00797886">
            <w:pPr>
              <w:pStyle w:val="Tabellenberschrift"/>
              <w:widowControl/>
              <w:suppressAutoHyphens/>
              <w:spacing w:before="0"/>
              <w:rPr>
                <w:rStyle w:val="Strong"/>
                <w:rFonts w:ascii="Calibri" w:hAnsi="Calibri"/>
                <w:b/>
                <w:sz w:val="20"/>
                <w:szCs w:val="20"/>
              </w:rPr>
            </w:pPr>
            <w:r w:rsidRPr="0033341F">
              <w:rPr>
                <w:rStyle w:val="Strong"/>
                <w:rFonts w:ascii="Calibri" w:hAnsi="Calibri"/>
                <w:b/>
                <w:sz w:val="20"/>
                <w:szCs w:val="20"/>
              </w:rPr>
              <w:t>other particles</w:t>
            </w:r>
            <w:r w:rsidRPr="0033341F">
              <w:rPr>
                <w:rStyle w:val="FootnoteReference"/>
                <w:rFonts w:ascii="Calibri" w:hAnsi="Calibri"/>
                <w:bCs w:val="0"/>
                <w:sz w:val="20"/>
                <w:szCs w:val="20"/>
              </w:rPr>
              <w:footnoteReference w:id="4"/>
            </w:r>
          </w:p>
        </w:tc>
        <w:tc>
          <w:tcPr>
            <w:tcW w:w="993" w:type="dxa"/>
            <w:tcBorders>
              <w:top w:val="single" w:sz="4" w:space="0" w:color="000000"/>
              <w:left w:val="single" w:sz="4" w:space="0" w:color="000000"/>
              <w:bottom w:val="single" w:sz="4" w:space="0" w:color="000000"/>
              <w:right w:val="single" w:sz="4" w:space="0" w:color="000000"/>
            </w:tcBorders>
          </w:tcPr>
          <w:p w14:paraId="188A38BE" w14:textId="2BD21A14" w:rsidR="0008241D" w:rsidRPr="0033341F" w:rsidRDefault="004D3B9E" w:rsidP="00797886">
            <w:pPr>
              <w:pStyle w:val="Tabellenberschrift"/>
              <w:widowControl/>
              <w:suppressAutoHyphens/>
              <w:spacing w:before="0"/>
              <w:rPr>
                <w:rStyle w:val="Strong"/>
                <w:rFonts w:ascii="Calibri" w:hAnsi="Calibri"/>
                <w:b/>
                <w:sz w:val="20"/>
                <w:szCs w:val="20"/>
              </w:rPr>
            </w:pPr>
            <w:r w:rsidRPr="0033341F">
              <w:rPr>
                <w:rStyle w:val="Strong"/>
                <w:rFonts w:ascii="Calibri" w:hAnsi="Calibri"/>
                <w:b/>
                <w:sz w:val="20"/>
                <w:szCs w:val="20"/>
              </w:rPr>
              <w:t>other adverbs</w:t>
            </w:r>
          </w:p>
        </w:tc>
        <w:tc>
          <w:tcPr>
            <w:tcW w:w="992" w:type="dxa"/>
            <w:tcBorders>
              <w:top w:val="single" w:sz="4" w:space="0" w:color="000000"/>
              <w:left w:val="single" w:sz="4" w:space="0" w:color="000000"/>
              <w:bottom w:val="single" w:sz="4" w:space="0" w:color="000000"/>
              <w:right w:val="single" w:sz="4" w:space="0" w:color="000000"/>
            </w:tcBorders>
          </w:tcPr>
          <w:p w14:paraId="58F006AE" w14:textId="6A88848C" w:rsidR="0008241D" w:rsidRPr="0033341F" w:rsidRDefault="004D3B9E" w:rsidP="00797886">
            <w:pPr>
              <w:pStyle w:val="Tabellenberschrift"/>
              <w:widowControl/>
              <w:suppressAutoHyphens/>
              <w:spacing w:before="0"/>
              <w:rPr>
                <w:rStyle w:val="Strong"/>
                <w:rFonts w:ascii="Calibri" w:hAnsi="Calibri"/>
                <w:b/>
                <w:sz w:val="20"/>
                <w:szCs w:val="20"/>
              </w:rPr>
            </w:pPr>
            <w:r w:rsidRPr="0033341F">
              <w:rPr>
                <w:rStyle w:val="Strong"/>
                <w:rFonts w:ascii="Calibri" w:hAnsi="Calibri"/>
                <w:b/>
                <w:sz w:val="20"/>
                <w:szCs w:val="20"/>
              </w:rPr>
              <w:t>phrases</w:t>
            </w:r>
            <w:r w:rsidRPr="0033341F">
              <w:rPr>
                <w:rStyle w:val="FootnoteReference"/>
                <w:rFonts w:ascii="Calibri" w:hAnsi="Calibri"/>
                <w:bCs w:val="0"/>
                <w:sz w:val="20"/>
                <w:szCs w:val="20"/>
              </w:rPr>
              <w:footnoteReference w:id="5"/>
            </w:r>
          </w:p>
        </w:tc>
        <w:tc>
          <w:tcPr>
            <w:tcW w:w="850" w:type="dxa"/>
            <w:tcBorders>
              <w:top w:val="single" w:sz="4" w:space="0" w:color="000000"/>
              <w:left w:val="single" w:sz="4" w:space="0" w:color="000000"/>
              <w:bottom w:val="single" w:sz="4" w:space="0" w:color="000000"/>
              <w:right w:val="single" w:sz="4" w:space="0" w:color="000000"/>
            </w:tcBorders>
          </w:tcPr>
          <w:p w14:paraId="0B3D3009" w14:textId="1002260D" w:rsidR="0008241D" w:rsidRPr="0033341F" w:rsidRDefault="004D3B9E" w:rsidP="00797886">
            <w:pPr>
              <w:pStyle w:val="Tabellenberschrift"/>
              <w:widowControl/>
              <w:suppressAutoHyphens/>
              <w:spacing w:before="0"/>
              <w:rPr>
                <w:rStyle w:val="Strong"/>
                <w:rFonts w:ascii="Calibri" w:hAnsi="Calibri"/>
                <w:b/>
                <w:sz w:val="20"/>
                <w:szCs w:val="20"/>
              </w:rPr>
            </w:pPr>
            <w:r w:rsidRPr="0033341F">
              <w:rPr>
                <w:rStyle w:val="Strong"/>
                <w:rFonts w:ascii="Calibri" w:hAnsi="Calibri"/>
                <w:b/>
                <w:sz w:val="20"/>
                <w:szCs w:val="20"/>
              </w:rPr>
              <w:t>other</w:t>
            </w:r>
            <w:r w:rsidRPr="0033341F">
              <w:rPr>
                <w:rStyle w:val="FootnoteReference"/>
                <w:rFonts w:ascii="Calibri" w:hAnsi="Calibri"/>
                <w:bCs w:val="0"/>
                <w:sz w:val="20"/>
                <w:szCs w:val="20"/>
              </w:rPr>
              <w:footnoteReference w:id="6"/>
            </w:r>
          </w:p>
        </w:tc>
        <w:tc>
          <w:tcPr>
            <w:tcW w:w="851" w:type="dxa"/>
            <w:tcBorders>
              <w:top w:val="single" w:sz="4" w:space="0" w:color="000000"/>
              <w:left w:val="single" w:sz="4" w:space="0" w:color="000000"/>
              <w:bottom w:val="single" w:sz="4" w:space="0" w:color="000000"/>
              <w:right w:val="single" w:sz="4" w:space="0" w:color="000000"/>
            </w:tcBorders>
          </w:tcPr>
          <w:p w14:paraId="45686F2F" w14:textId="66E5791A" w:rsidR="0008241D" w:rsidRPr="0033341F" w:rsidRDefault="004D3B9E" w:rsidP="00797886">
            <w:pPr>
              <w:pStyle w:val="Tabellenberschrift"/>
              <w:widowControl/>
              <w:suppressAutoHyphens/>
              <w:spacing w:before="0"/>
              <w:rPr>
                <w:rStyle w:val="Strong"/>
                <w:rFonts w:ascii="Calibri" w:hAnsi="Calibri"/>
                <w:b/>
                <w:sz w:val="20"/>
                <w:szCs w:val="20"/>
              </w:rPr>
            </w:pPr>
            <w:r w:rsidRPr="0033341F">
              <w:rPr>
                <w:rStyle w:val="Strong"/>
                <w:rFonts w:ascii="Calibri" w:hAnsi="Calibri"/>
                <w:b/>
                <w:sz w:val="20"/>
                <w:szCs w:val="20"/>
              </w:rPr>
              <w:t>none</w:t>
            </w:r>
          </w:p>
        </w:tc>
      </w:tr>
      <w:tr w:rsidR="0008241D" w14:paraId="7E0B2C86" w14:textId="527E3477" w:rsidTr="0033341F">
        <w:tc>
          <w:tcPr>
            <w:tcW w:w="1129" w:type="dxa"/>
            <w:tcBorders>
              <w:top w:val="single" w:sz="4" w:space="0" w:color="000000"/>
              <w:left w:val="single" w:sz="4" w:space="0" w:color="000000"/>
              <w:bottom w:val="single" w:sz="4" w:space="0" w:color="000000"/>
              <w:right w:val="single" w:sz="4" w:space="0" w:color="000000"/>
            </w:tcBorders>
          </w:tcPr>
          <w:p w14:paraId="20255686" w14:textId="40500E01" w:rsidR="0008241D" w:rsidRPr="0033341F" w:rsidRDefault="0008241D" w:rsidP="00797886">
            <w:pPr>
              <w:pStyle w:val="Tabelleninhalt"/>
              <w:widowControl/>
              <w:suppressAutoHyphens/>
              <w:spacing w:before="0"/>
              <w:jc w:val="left"/>
              <w:rPr>
                <w:rFonts w:asciiTheme="minorHAnsi" w:hAnsiTheme="minorHAnsi" w:cstheme="minorHAnsi"/>
                <w:smallCaps/>
                <w:sz w:val="20"/>
                <w:szCs w:val="20"/>
              </w:rPr>
            </w:pPr>
            <w:r w:rsidRPr="0033341F">
              <w:rPr>
                <w:rStyle w:val="KapitlchenSmallCapital"/>
                <w:rFonts w:asciiTheme="minorHAnsi" w:hAnsiTheme="minorHAnsi" w:cstheme="minorHAnsi"/>
                <w:smallCaps w:val="0"/>
                <w:sz w:val="20"/>
                <w:szCs w:val="20"/>
              </w:rPr>
              <w:t>declarative</w:t>
            </w:r>
          </w:p>
        </w:tc>
        <w:tc>
          <w:tcPr>
            <w:tcW w:w="709" w:type="dxa"/>
            <w:tcBorders>
              <w:top w:val="single" w:sz="4" w:space="0" w:color="000000"/>
              <w:left w:val="single" w:sz="4" w:space="0" w:color="000000"/>
              <w:bottom w:val="single" w:sz="4" w:space="0" w:color="000000"/>
              <w:right w:val="single" w:sz="4" w:space="0" w:color="000000"/>
            </w:tcBorders>
          </w:tcPr>
          <w:p w14:paraId="555E86F1" w14:textId="77777777" w:rsidR="0008241D" w:rsidRPr="00627903" w:rsidRDefault="0033341F"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163</w:t>
            </w:r>
          </w:p>
          <w:p w14:paraId="53751EA8" w14:textId="535375EB" w:rsidR="0033341F" w:rsidRPr="00627903" w:rsidRDefault="0033341F"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(81.5)</w:t>
            </w:r>
          </w:p>
        </w:tc>
        <w:tc>
          <w:tcPr>
            <w:tcW w:w="709" w:type="dxa"/>
            <w:tcBorders>
              <w:top w:val="single" w:sz="4" w:space="0" w:color="000000"/>
              <w:left w:val="single" w:sz="4" w:space="0" w:color="000000"/>
              <w:bottom w:val="single" w:sz="4" w:space="0" w:color="000000"/>
              <w:right w:val="single" w:sz="4" w:space="0" w:color="000000"/>
            </w:tcBorders>
          </w:tcPr>
          <w:p w14:paraId="203FA523" w14:textId="77777777" w:rsidR="0008241D" w:rsidRPr="00627903" w:rsidRDefault="00BB2A51"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7</w:t>
            </w:r>
          </w:p>
          <w:p w14:paraId="4F25F3EA" w14:textId="72C038E4" w:rsidR="0033341F" w:rsidRPr="00627903" w:rsidRDefault="0033341F"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(3.5)</w:t>
            </w:r>
          </w:p>
        </w:tc>
        <w:tc>
          <w:tcPr>
            <w:tcW w:w="992" w:type="dxa"/>
            <w:tcBorders>
              <w:top w:val="single" w:sz="4" w:space="0" w:color="000000"/>
              <w:left w:val="single" w:sz="4" w:space="0" w:color="000000"/>
              <w:bottom w:val="single" w:sz="4" w:space="0" w:color="000000"/>
              <w:right w:val="single" w:sz="4" w:space="0" w:color="000000"/>
            </w:tcBorders>
          </w:tcPr>
          <w:p w14:paraId="201BB57C" w14:textId="77777777" w:rsidR="0008241D" w:rsidRPr="00627903" w:rsidRDefault="00286B52" w:rsidP="00667A0C">
            <w:pPr>
              <w:pStyle w:val="Tabelleninhalt"/>
              <w:widowControl/>
              <w:suppressAutoHyphens/>
              <w:spacing w:before="0"/>
              <w:jc w:val="right"/>
              <w:rPr>
                <w:rStyle w:val="Emphasis"/>
                <w:rFonts w:asciiTheme="minorHAnsi" w:hAnsiTheme="minorHAnsi" w:cstheme="minorHAnsi"/>
                <w:i w:val="0"/>
                <w:iCs w:val="0"/>
                <w:sz w:val="20"/>
                <w:szCs w:val="20"/>
              </w:rPr>
            </w:pPr>
            <w:r w:rsidRPr="00627903">
              <w:rPr>
                <w:rStyle w:val="Emphasis"/>
                <w:rFonts w:asciiTheme="minorHAnsi" w:hAnsiTheme="minorHAnsi" w:cstheme="minorHAnsi"/>
                <w:i w:val="0"/>
                <w:iCs w:val="0"/>
                <w:sz w:val="20"/>
                <w:szCs w:val="20"/>
              </w:rPr>
              <w:t>48</w:t>
            </w:r>
          </w:p>
          <w:p w14:paraId="2E134D52" w14:textId="7632C538" w:rsidR="0033341F" w:rsidRPr="00627903" w:rsidRDefault="0033341F" w:rsidP="00667A0C">
            <w:pPr>
              <w:pStyle w:val="Tabelleninhalt"/>
              <w:widowControl/>
              <w:suppressAutoHyphens/>
              <w:spacing w:before="0"/>
              <w:jc w:val="right"/>
              <w:rPr>
                <w:rStyle w:val="Emphasis"/>
                <w:rFonts w:asciiTheme="minorHAnsi" w:hAnsiTheme="minorHAnsi" w:cstheme="minorHAnsi"/>
                <w:i w:val="0"/>
                <w:iCs w:val="0"/>
                <w:sz w:val="20"/>
                <w:szCs w:val="20"/>
              </w:rPr>
            </w:pPr>
            <w:r w:rsidRPr="00627903">
              <w:rPr>
                <w:rStyle w:val="Emphasis"/>
                <w:rFonts w:asciiTheme="minorHAnsi" w:hAnsiTheme="minorHAnsi" w:cstheme="minorHAnsi"/>
                <w:i w:val="0"/>
                <w:iCs w:val="0"/>
                <w:sz w:val="20"/>
                <w:szCs w:val="20"/>
              </w:rPr>
              <w:t>(24.0)</w:t>
            </w:r>
          </w:p>
        </w:tc>
        <w:tc>
          <w:tcPr>
            <w:tcW w:w="992" w:type="dxa"/>
            <w:tcBorders>
              <w:top w:val="single" w:sz="4" w:space="0" w:color="000000"/>
              <w:left w:val="single" w:sz="4" w:space="0" w:color="000000"/>
              <w:bottom w:val="single" w:sz="4" w:space="0" w:color="000000"/>
              <w:right w:val="single" w:sz="4" w:space="0" w:color="000000"/>
            </w:tcBorders>
          </w:tcPr>
          <w:p w14:paraId="2339D8C3" w14:textId="77777777" w:rsidR="0008241D" w:rsidRPr="00627903" w:rsidRDefault="0033341F" w:rsidP="00667A0C">
            <w:pPr>
              <w:pStyle w:val="Tabelleninhalt"/>
              <w:widowControl/>
              <w:suppressAutoHyphens/>
              <w:spacing w:before="0"/>
              <w:jc w:val="right"/>
              <w:rPr>
                <w:rStyle w:val="Emphasis"/>
                <w:rFonts w:asciiTheme="minorHAnsi" w:hAnsiTheme="minorHAnsi" w:cstheme="minorHAnsi"/>
                <w:i w:val="0"/>
                <w:iCs w:val="0"/>
                <w:sz w:val="20"/>
                <w:szCs w:val="20"/>
              </w:rPr>
            </w:pPr>
            <w:r w:rsidRPr="00627903">
              <w:rPr>
                <w:rStyle w:val="Emphasis"/>
                <w:rFonts w:asciiTheme="minorHAnsi" w:hAnsiTheme="minorHAnsi" w:cstheme="minorHAnsi"/>
                <w:i w:val="0"/>
                <w:iCs w:val="0"/>
                <w:sz w:val="20"/>
                <w:szCs w:val="20"/>
              </w:rPr>
              <w:t>7</w:t>
            </w:r>
          </w:p>
          <w:p w14:paraId="358A0194" w14:textId="1BD28486" w:rsidR="0033341F" w:rsidRPr="00627903" w:rsidRDefault="0033341F" w:rsidP="00667A0C">
            <w:pPr>
              <w:pStyle w:val="Tabelleninhalt"/>
              <w:widowControl/>
              <w:suppressAutoHyphens/>
              <w:spacing w:before="0"/>
              <w:jc w:val="right"/>
              <w:rPr>
                <w:rStyle w:val="Emphasis"/>
                <w:rFonts w:asciiTheme="minorHAnsi" w:hAnsiTheme="minorHAnsi" w:cstheme="minorHAnsi"/>
                <w:i w:val="0"/>
                <w:iCs w:val="0"/>
                <w:sz w:val="20"/>
                <w:szCs w:val="20"/>
              </w:rPr>
            </w:pPr>
            <w:r w:rsidRPr="00627903">
              <w:rPr>
                <w:rStyle w:val="Emphasis"/>
                <w:rFonts w:asciiTheme="minorHAnsi" w:hAnsiTheme="minorHAnsi" w:cstheme="minorHAnsi"/>
                <w:i w:val="0"/>
                <w:iCs w:val="0"/>
                <w:sz w:val="20"/>
                <w:szCs w:val="20"/>
              </w:rPr>
              <w:t>(3.5)</w:t>
            </w:r>
          </w:p>
        </w:tc>
        <w:tc>
          <w:tcPr>
            <w:tcW w:w="993" w:type="dxa"/>
            <w:tcBorders>
              <w:top w:val="single" w:sz="4" w:space="0" w:color="000000"/>
              <w:left w:val="single" w:sz="4" w:space="0" w:color="000000"/>
              <w:bottom w:val="single" w:sz="4" w:space="0" w:color="000000"/>
              <w:right w:val="single" w:sz="4" w:space="0" w:color="000000"/>
            </w:tcBorders>
          </w:tcPr>
          <w:p w14:paraId="709C20A9" w14:textId="77777777" w:rsidR="0008241D" w:rsidRPr="00627903" w:rsidRDefault="00BB2A51" w:rsidP="00667A0C">
            <w:pPr>
              <w:pStyle w:val="Tabelleninhalt"/>
              <w:widowControl/>
              <w:suppressAutoHyphens/>
              <w:spacing w:before="0"/>
              <w:jc w:val="right"/>
              <w:rPr>
                <w:rStyle w:val="Emphasis"/>
                <w:rFonts w:asciiTheme="minorHAnsi" w:hAnsiTheme="minorHAnsi" w:cstheme="minorHAnsi"/>
                <w:i w:val="0"/>
                <w:iCs w:val="0"/>
                <w:sz w:val="20"/>
                <w:szCs w:val="20"/>
              </w:rPr>
            </w:pPr>
            <w:r w:rsidRPr="00627903">
              <w:rPr>
                <w:rStyle w:val="Emphasis"/>
                <w:rFonts w:asciiTheme="minorHAnsi" w:hAnsiTheme="minorHAnsi" w:cstheme="minorHAnsi"/>
                <w:i w:val="0"/>
                <w:iCs w:val="0"/>
                <w:sz w:val="20"/>
                <w:szCs w:val="20"/>
              </w:rPr>
              <w:t>37</w:t>
            </w:r>
          </w:p>
          <w:p w14:paraId="0A6B6CDA" w14:textId="49480174" w:rsidR="0033341F" w:rsidRPr="00627903" w:rsidRDefault="0033341F" w:rsidP="00667A0C">
            <w:pPr>
              <w:pStyle w:val="Tabelleninhalt"/>
              <w:widowControl/>
              <w:suppressAutoHyphens/>
              <w:spacing w:before="0"/>
              <w:jc w:val="right"/>
              <w:rPr>
                <w:rStyle w:val="Emphasis"/>
                <w:rFonts w:asciiTheme="minorHAnsi" w:hAnsiTheme="minorHAnsi" w:cstheme="minorHAnsi"/>
                <w:i w:val="0"/>
                <w:iCs w:val="0"/>
                <w:sz w:val="20"/>
                <w:szCs w:val="20"/>
              </w:rPr>
            </w:pPr>
            <w:r w:rsidRPr="00627903">
              <w:rPr>
                <w:rStyle w:val="Emphasis"/>
                <w:rFonts w:asciiTheme="minorHAnsi" w:hAnsiTheme="minorHAnsi" w:cstheme="minorHAnsi"/>
                <w:i w:val="0"/>
                <w:iCs w:val="0"/>
                <w:sz w:val="20"/>
                <w:szCs w:val="20"/>
              </w:rPr>
              <w:t>(18.5)</w:t>
            </w:r>
          </w:p>
        </w:tc>
        <w:tc>
          <w:tcPr>
            <w:tcW w:w="992" w:type="dxa"/>
            <w:tcBorders>
              <w:top w:val="single" w:sz="4" w:space="0" w:color="000000"/>
              <w:left w:val="single" w:sz="4" w:space="0" w:color="000000"/>
              <w:bottom w:val="single" w:sz="4" w:space="0" w:color="000000"/>
              <w:right w:val="single" w:sz="4" w:space="0" w:color="000000"/>
            </w:tcBorders>
          </w:tcPr>
          <w:p w14:paraId="539A3745" w14:textId="77777777" w:rsidR="0008241D" w:rsidRPr="00627903" w:rsidRDefault="00BB2A51" w:rsidP="00667A0C">
            <w:pPr>
              <w:pStyle w:val="Tabelleninhalt"/>
              <w:widowControl/>
              <w:suppressAutoHyphens/>
              <w:spacing w:before="0"/>
              <w:jc w:val="right"/>
              <w:rPr>
                <w:rStyle w:val="Emphasis"/>
                <w:rFonts w:asciiTheme="minorHAnsi" w:hAnsiTheme="minorHAnsi" w:cstheme="minorHAnsi"/>
                <w:i w:val="0"/>
                <w:iCs w:val="0"/>
                <w:sz w:val="20"/>
                <w:szCs w:val="20"/>
              </w:rPr>
            </w:pPr>
            <w:r w:rsidRPr="00627903">
              <w:rPr>
                <w:rStyle w:val="Emphasis"/>
                <w:rFonts w:asciiTheme="minorHAnsi" w:hAnsiTheme="minorHAnsi" w:cstheme="minorHAnsi"/>
                <w:i w:val="0"/>
                <w:iCs w:val="0"/>
                <w:sz w:val="20"/>
                <w:szCs w:val="20"/>
              </w:rPr>
              <w:t>13</w:t>
            </w:r>
          </w:p>
          <w:p w14:paraId="4EAFA3A1" w14:textId="31098D14" w:rsidR="006915DB" w:rsidRPr="00627903" w:rsidRDefault="006915DB" w:rsidP="00667A0C">
            <w:pPr>
              <w:pStyle w:val="Tabelleninhalt"/>
              <w:widowControl/>
              <w:suppressAutoHyphens/>
              <w:spacing w:before="0"/>
              <w:jc w:val="right"/>
              <w:rPr>
                <w:rStyle w:val="Emphasis"/>
                <w:rFonts w:asciiTheme="minorHAnsi" w:hAnsiTheme="minorHAnsi" w:cstheme="minorHAnsi"/>
                <w:i w:val="0"/>
                <w:iCs w:val="0"/>
                <w:sz w:val="20"/>
                <w:szCs w:val="20"/>
              </w:rPr>
            </w:pPr>
            <w:r w:rsidRPr="00627903">
              <w:rPr>
                <w:rStyle w:val="Emphasis"/>
                <w:rFonts w:asciiTheme="minorHAnsi" w:hAnsiTheme="minorHAnsi" w:cstheme="minorHAnsi"/>
                <w:i w:val="0"/>
                <w:iCs w:val="0"/>
                <w:sz w:val="20"/>
                <w:szCs w:val="20"/>
              </w:rPr>
              <w:t>(6.5)</w:t>
            </w:r>
          </w:p>
        </w:tc>
        <w:tc>
          <w:tcPr>
            <w:tcW w:w="850" w:type="dxa"/>
            <w:tcBorders>
              <w:top w:val="single" w:sz="4" w:space="0" w:color="000000"/>
              <w:left w:val="single" w:sz="4" w:space="0" w:color="000000"/>
              <w:bottom w:val="single" w:sz="4" w:space="0" w:color="000000"/>
              <w:right w:val="single" w:sz="4" w:space="0" w:color="000000"/>
            </w:tcBorders>
          </w:tcPr>
          <w:p w14:paraId="19251CD6" w14:textId="77777777" w:rsidR="0008241D" w:rsidRPr="00627903" w:rsidRDefault="0033341F" w:rsidP="00667A0C">
            <w:pPr>
              <w:pStyle w:val="Tabelleninhalt"/>
              <w:widowControl/>
              <w:suppressAutoHyphens/>
              <w:spacing w:before="0"/>
              <w:jc w:val="right"/>
              <w:rPr>
                <w:rStyle w:val="Emphasis"/>
                <w:rFonts w:asciiTheme="minorHAnsi" w:hAnsiTheme="minorHAnsi" w:cstheme="minorHAnsi"/>
                <w:i w:val="0"/>
                <w:iCs w:val="0"/>
                <w:sz w:val="20"/>
                <w:szCs w:val="20"/>
              </w:rPr>
            </w:pPr>
            <w:r w:rsidRPr="00627903">
              <w:rPr>
                <w:rStyle w:val="Emphasis"/>
                <w:rFonts w:asciiTheme="minorHAnsi" w:hAnsiTheme="minorHAnsi" w:cstheme="minorHAnsi"/>
                <w:i w:val="0"/>
                <w:iCs w:val="0"/>
                <w:sz w:val="20"/>
                <w:szCs w:val="20"/>
              </w:rPr>
              <w:t>17</w:t>
            </w:r>
          </w:p>
          <w:p w14:paraId="43252EA1" w14:textId="4E4A3EDF" w:rsidR="006915DB" w:rsidRPr="00627903" w:rsidRDefault="006915DB" w:rsidP="00667A0C">
            <w:pPr>
              <w:pStyle w:val="Tabelleninhalt"/>
              <w:widowControl/>
              <w:suppressAutoHyphens/>
              <w:spacing w:before="0"/>
              <w:jc w:val="right"/>
              <w:rPr>
                <w:rStyle w:val="Emphasis"/>
                <w:rFonts w:asciiTheme="minorHAnsi" w:hAnsiTheme="minorHAnsi" w:cstheme="minorHAnsi"/>
                <w:i w:val="0"/>
                <w:iCs w:val="0"/>
                <w:sz w:val="20"/>
                <w:szCs w:val="20"/>
              </w:rPr>
            </w:pPr>
            <w:r w:rsidRPr="00627903">
              <w:rPr>
                <w:rStyle w:val="Emphasis"/>
                <w:rFonts w:asciiTheme="minorHAnsi" w:hAnsiTheme="minorHAnsi" w:cstheme="minorHAnsi"/>
                <w:i w:val="0"/>
                <w:iCs w:val="0"/>
                <w:sz w:val="20"/>
                <w:szCs w:val="20"/>
              </w:rPr>
              <w:t>(8.5)</w:t>
            </w:r>
          </w:p>
        </w:tc>
        <w:tc>
          <w:tcPr>
            <w:tcW w:w="851" w:type="dxa"/>
            <w:tcBorders>
              <w:top w:val="single" w:sz="4" w:space="0" w:color="000000"/>
              <w:left w:val="single" w:sz="4" w:space="0" w:color="000000"/>
              <w:bottom w:val="single" w:sz="4" w:space="0" w:color="000000"/>
              <w:right w:val="single" w:sz="4" w:space="0" w:color="000000"/>
            </w:tcBorders>
          </w:tcPr>
          <w:p w14:paraId="3030CF55" w14:textId="77777777" w:rsidR="0008241D" w:rsidRPr="00627903" w:rsidRDefault="00286B52" w:rsidP="00667A0C">
            <w:pPr>
              <w:pStyle w:val="Tabelleninhalt"/>
              <w:widowControl/>
              <w:suppressAutoHyphens/>
              <w:spacing w:before="0"/>
              <w:jc w:val="right"/>
              <w:rPr>
                <w:rStyle w:val="Emphasis"/>
                <w:rFonts w:asciiTheme="minorHAnsi" w:hAnsiTheme="minorHAnsi" w:cstheme="minorHAnsi"/>
                <w:i w:val="0"/>
                <w:iCs w:val="0"/>
                <w:sz w:val="20"/>
                <w:szCs w:val="20"/>
              </w:rPr>
            </w:pPr>
            <w:r w:rsidRPr="00627903">
              <w:rPr>
                <w:rStyle w:val="Emphasis"/>
                <w:rFonts w:asciiTheme="minorHAnsi" w:hAnsiTheme="minorHAnsi" w:cstheme="minorHAnsi"/>
                <w:i w:val="0"/>
                <w:iCs w:val="0"/>
                <w:sz w:val="20"/>
                <w:szCs w:val="20"/>
              </w:rPr>
              <w:t>34</w:t>
            </w:r>
          </w:p>
          <w:p w14:paraId="047AB9D9" w14:textId="45052AB9" w:rsidR="006915DB" w:rsidRPr="00627903" w:rsidRDefault="006915DB" w:rsidP="00667A0C">
            <w:pPr>
              <w:pStyle w:val="Tabelleninhalt"/>
              <w:widowControl/>
              <w:suppressAutoHyphens/>
              <w:spacing w:before="0"/>
              <w:jc w:val="right"/>
              <w:rPr>
                <w:rStyle w:val="Emphasis"/>
                <w:rFonts w:asciiTheme="minorHAnsi" w:hAnsiTheme="minorHAnsi" w:cstheme="minorHAnsi"/>
                <w:i w:val="0"/>
                <w:iCs w:val="0"/>
                <w:sz w:val="20"/>
                <w:szCs w:val="20"/>
              </w:rPr>
            </w:pPr>
            <w:r w:rsidRPr="00627903">
              <w:rPr>
                <w:rStyle w:val="Emphasis"/>
                <w:rFonts w:asciiTheme="minorHAnsi" w:hAnsiTheme="minorHAnsi" w:cstheme="minorHAnsi"/>
                <w:i w:val="0"/>
                <w:iCs w:val="0"/>
                <w:sz w:val="20"/>
                <w:szCs w:val="20"/>
              </w:rPr>
              <w:t>(17.0)</w:t>
            </w:r>
          </w:p>
        </w:tc>
      </w:tr>
      <w:tr w:rsidR="0008241D" w14:paraId="1FD0FE8D" w14:textId="733867C3" w:rsidTr="0033341F">
        <w:tc>
          <w:tcPr>
            <w:tcW w:w="1129" w:type="dxa"/>
            <w:tcBorders>
              <w:top w:val="single" w:sz="4" w:space="0" w:color="000000"/>
              <w:left w:val="single" w:sz="4" w:space="0" w:color="000000"/>
              <w:bottom w:val="single" w:sz="4" w:space="0" w:color="000000"/>
              <w:right w:val="single" w:sz="4" w:space="0" w:color="000000"/>
            </w:tcBorders>
          </w:tcPr>
          <w:p w14:paraId="0DB80CB0" w14:textId="67ED5B56" w:rsidR="0008241D" w:rsidRPr="0033341F" w:rsidRDefault="0008241D" w:rsidP="00797886">
            <w:pPr>
              <w:pStyle w:val="Tabelleninhalt"/>
              <w:widowControl/>
              <w:suppressAutoHyphens/>
              <w:spacing w:before="0"/>
              <w:jc w:val="left"/>
              <w:rPr>
                <w:rFonts w:asciiTheme="minorHAnsi" w:hAnsiTheme="minorHAnsi" w:cstheme="minorHAnsi"/>
                <w:smallCaps/>
                <w:sz w:val="20"/>
                <w:szCs w:val="20"/>
              </w:rPr>
            </w:pPr>
            <w:r w:rsidRPr="0033341F">
              <w:rPr>
                <w:rStyle w:val="KapitlchenSmallCapital"/>
                <w:rFonts w:asciiTheme="minorHAnsi" w:hAnsiTheme="minorHAnsi" w:cstheme="minorHAnsi"/>
                <w:smallCaps w:val="0"/>
                <w:sz w:val="20"/>
                <w:szCs w:val="20"/>
              </w:rPr>
              <w:t>question</w:t>
            </w:r>
          </w:p>
        </w:tc>
        <w:tc>
          <w:tcPr>
            <w:tcW w:w="709" w:type="dxa"/>
            <w:tcBorders>
              <w:top w:val="single" w:sz="4" w:space="0" w:color="000000"/>
              <w:left w:val="single" w:sz="4" w:space="0" w:color="000000"/>
              <w:bottom w:val="single" w:sz="4" w:space="0" w:color="000000"/>
              <w:right w:val="single" w:sz="4" w:space="0" w:color="000000"/>
            </w:tcBorders>
          </w:tcPr>
          <w:p w14:paraId="2514C7B6" w14:textId="77777777" w:rsidR="0008241D" w:rsidRPr="00627903" w:rsidRDefault="0033341F"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37</w:t>
            </w:r>
          </w:p>
          <w:p w14:paraId="68CB8717" w14:textId="43DF9236" w:rsidR="0033341F" w:rsidRPr="00627903" w:rsidRDefault="0033341F"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(18.5)</w:t>
            </w:r>
          </w:p>
        </w:tc>
        <w:tc>
          <w:tcPr>
            <w:tcW w:w="709" w:type="dxa"/>
            <w:tcBorders>
              <w:top w:val="single" w:sz="4" w:space="0" w:color="000000"/>
              <w:left w:val="single" w:sz="4" w:space="0" w:color="000000"/>
              <w:bottom w:val="single" w:sz="4" w:space="0" w:color="000000"/>
              <w:right w:val="single" w:sz="4" w:space="0" w:color="000000"/>
            </w:tcBorders>
          </w:tcPr>
          <w:p w14:paraId="630A5E50" w14:textId="5FADC8F2" w:rsidR="0008241D" w:rsidRPr="00627903" w:rsidRDefault="0033341F"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0</w:t>
            </w:r>
          </w:p>
        </w:tc>
        <w:tc>
          <w:tcPr>
            <w:tcW w:w="992" w:type="dxa"/>
            <w:tcBorders>
              <w:top w:val="single" w:sz="4" w:space="0" w:color="000000"/>
              <w:left w:val="single" w:sz="4" w:space="0" w:color="000000"/>
              <w:bottom w:val="single" w:sz="4" w:space="0" w:color="000000"/>
              <w:right w:val="single" w:sz="4" w:space="0" w:color="000000"/>
            </w:tcBorders>
          </w:tcPr>
          <w:p w14:paraId="6DCDD38A" w14:textId="77777777" w:rsidR="0008241D" w:rsidRPr="00627903" w:rsidRDefault="00286B52"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1</w:t>
            </w:r>
          </w:p>
          <w:p w14:paraId="4653798C" w14:textId="14C4EC8F" w:rsidR="0033341F" w:rsidRPr="00627903" w:rsidRDefault="0033341F"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(0.5)</w:t>
            </w:r>
          </w:p>
        </w:tc>
        <w:tc>
          <w:tcPr>
            <w:tcW w:w="992" w:type="dxa"/>
            <w:tcBorders>
              <w:top w:val="single" w:sz="4" w:space="0" w:color="000000"/>
              <w:left w:val="single" w:sz="4" w:space="0" w:color="000000"/>
              <w:bottom w:val="single" w:sz="4" w:space="0" w:color="000000"/>
              <w:right w:val="single" w:sz="4" w:space="0" w:color="000000"/>
            </w:tcBorders>
          </w:tcPr>
          <w:p w14:paraId="2E4646BB" w14:textId="77777777" w:rsidR="0008241D" w:rsidRPr="00627903" w:rsidRDefault="0033341F"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11</w:t>
            </w:r>
          </w:p>
          <w:p w14:paraId="0B6AC0EF" w14:textId="6621053B" w:rsidR="0033341F" w:rsidRPr="00627903" w:rsidRDefault="0033341F"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(5.5)</w:t>
            </w:r>
          </w:p>
        </w:tc>
        <w:tc>
          <w:tcPr>
            <w:tcW w:w="993" w:type="dxa"/>
            <w:tcBorders>
              <w:top w:val="single" w:sz="4" w:space="0" w:color="000000"/>
              <w:left w:val="single" w:sz="4" w:space="0" w:color="000000"/>
              <w:bottom w:val="single" w:sz="4" w:space="0" w:color="000000"/>
              <w:right w:val="single" w:sz="4" w:space="0" w:color="000000"/>
            </w:tcBorders>
          </w:tcPr>
          <w:p w14:paraId="42A5778E" w14:textId="77777777" w:rsidR="0008241D" w:rsidRPr="00627903" w:rsidRDefault="00BB2A51"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3</w:t>
            </w:r>
          </w:p>
          <w:p w14:paraId="197858D5" w14:textId="13EB71FE" w:rsidR="0033341F" w:rsidRPr="00627903" w:rsidRDefault="0033341F"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w:t>
            </w:r>
            <w:r w:rsidR="006915DB" w:rsidRPr="00627903">
              <w:rPr>
                <w:rFonts w:asciiTheme="minorHAnsi" w:hAnsiTheme="minorHAnsi" w:cstheme="minorHAnsi"/>
                <w:sz w:val="20"/>
                <w:szCs w:val="20"/>
              </w:rPr>
              <w:t>1.5</w:t>
            </w:r>
            <w:r w:rsidRPr="00627903">
              <w:rPr>
                <w:rFonts w:asciiTheme="minorHAnsi" w:hAnsiTheme="minorHAnsi" w:cstheme="minorHAnsi"/>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3327F88C" w14:textId="77777777" w:rsidR="0008241D" w:rsidRPr="00627903" w:rsidRDefault="00BB2A51"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1</w:t>
            </w:r>
          </w:p>
          <w:p w14:paraId="55F18AF1" w14:textId="70ECD8D9" w:rsidR="0033341F" w:rsidRPr="00627903" w:rsidRDefault="0033341F"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(0.5)</w:t>
            </w:r>
          </w:p>
        </w:tc>
        <w:tc>
          <w:tcPr>
            <w:tcW w:w="850" w:type="dxa"/>
            <w:tcBorders>
              <w:top w:val="single" w:sz="4" w:space="0" w:color="000000"/>
              <w:left w:val="single" w:sz="4" w:space="0" w:color="000000"/>
              <w:bottom w:val="single" w:sz="4" w:space="0" w:color="000000"/>
              <w:right w:val="single" w:sz="4" w:space="0" w:color="000000"/>
            </w:tcBorders>
          </w:tcPr>
          <w:p w14:paraId="3C99BD28" w14:textId="77777777" w:rsidR="0008241D" w:rsidRPr="00627903" w:rsidRDefault="0033341F"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3</w:t>
            </w:r>
          </w:p>
          <w:p w14:paraId="2E6C16FE" w14:textId="3CADC1B4" w:rsidR="0033341F" w:rsidRPr="00627903" w:rsidRDefault="0033341F"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w:t>
            </w:r>
            <w:r w:rsidR="006915DB" w:rsidRPr="00627903">
              <w:rPr>
                <w:rFonts w:asciiTheme="minorHAnsi" w:hAnsiTheme="minorHAnsi" w:cstheme="minorHAnsi"/>
                <w:sz w:val="20"/>
                <w:szCs w:val="20"/>
              </w:rPr>
              <w:t>1.5</w:t>
            </w:r>
            <w:r w:rsidRPr="00627903">
              <w:rPr>
                <w:rFonts w:asciiTheme="minorHAnsi" w:hAnsiTheme="minorHAnsi" w:cstheme="minorHAnsi"/>
                <w:sz w:val="20"/>
                <w:szCs w:val="20"/>
              </w:rPr>
              <w:t>)</w:t>
            </w:r>
          </w:p>
        </w:tc>
        <w:tc>
          <w:tcPr>
            <w:tcW w:w="851" w:type="dxa"/>
            <w:tcBorders>
              <w:top w:val="single" w:sz="4" w:space="0" w:color="000000"/>
              <w:left w:val="single" w:sz="4" w:space="0" w:color="000000"/>
              <w:bottom w:val="single" w:sz="4" w:space="0" w:color="000000"/>
              <w:right w:val="single" w:sz="4" w:space="0" w:color="000000"/>
            </w:tcBorders>
          </w:tcPr>
          <w:p w14:paraId="53BCB567" w14:textId="77777777" w:rsidR="0008241D" w:rsidRPr="00627903" w:rsidRDefault="00286B52"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18</w:t>
            </w:r>
          </w:p>
          <w:p w14:paraId="03BAE724" w14:textId="5A7C9310" w:rsidR="006915DB" w:rsidRPr="00627903" w:rsidRDefault="006915DB"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(9.0)</w:t>
            </w:r>
          </w:p>
        </w:tc>
      </w:tr>
      <w:tr w:rsidR="004D3B9E" w14:paraId="47F6687C" w14:textId="77777777" w:rsidTr="0033341F">
        <w:tc>
          <w:tcPr>
            <w:tcW w:w="1129" w:type="dxa"/>
            <w:tcBorders>
              <w:top w:val="single" w:sz="4" w:space="0" w:color="000000"/>
              <w:left w:val="single" w:sz="4" w:space="0" w:color="000000"/>
              <w:bottom w:val="single" w:sz="4" w:space="0" w:color="000000"/>
              <w:right w:val="single" w:sz="4" w:space="0" w:color="000000"/>
            </w:tcBorders>
          </w:tcPr>
          <w:p w14:paraId="0E5571D8" w14:textId="781E972B" w:rsidR="004D3B9E" w:rsidRPr="00627903" w:rsidRDefault="004D3B9E" w:rsidP="00797886">
            <w:pPr>
              <w:pStyle w:val="Tabelleninhalt"/>
              <w:widowControl/>
              <w:suppressAutoHyphens/>
              <w:spacing w:before="0"/>
              <w:jc w:val="left"/>
              <w:rPr>
                <w:rStyle w:val="KapitlchenSmallCapital"/>
                <w:rFonts w:asciiTheme="minorHAnsi" w:hAnsiTheme="minorHAnsi" w:cstheme="minorHAnsi"/>
                <w:smallCaps w:val="0"/>
                <w:sz w:val="20"/>
                <w:szCs w:val="20"/>
              </w:rPr>
            </w:pPr>
            <w:r w:rsidRPr="00627903">
              <w:rPr>
                <w:rStyle w:val="KapitlchenSmallCapital"/>
                <w:rFonts w:asciiTheme="minorHAnsi" w:hAnsiTheme="minorHAnsi" w:cstheme="minorHAnsi"/>
                <w:smallCaps w:val="0"/>
                <w:sz w:val="20"/>
                <w:szCs w:val="20"/>
              </w:rPr>
              <w:t>total</w:t>
            </w:r>
          </w:p>
        </w:tc>
        <w:tc>
          <w:tcPr>
            <w:tcW w:w="709" w:type="dxa"/>
            <w:tcBorders>
              <w:top w:val="single" w:sz="4" w:space="0" w:color="000000"/>
              <w:left w:val="single" w:sz="4" w:space="0" w:color="000000"/>
              <w:bottom w:val="single" w:sz="4" w:space="0" w:color="000000"/>
              <w:right w:val="single" w:sz="4" w:space="0" w:color="000000"/>
            </w:tcBorders>
          </w:tcPr>
          <w:p w14:paraId="6B61ED7C" w14:textId="77777777" w:rsidR="004D3B9E" w:rsidRPr="00627903" w:rsidRDefault="0033341F"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200</w:t>
            </w:r>
          </w:p>
          <w:p w14:paraId="7EFD1713" w14:textId="5E643C82" w:rsidR="0033341F" w:rsidRPr="00627903" w:rsidRDefault="0033341F"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(100)</w:t>
            </w:r>
          </w:p>
        </w:tc>
        <w:tc>
          <w:tcPr>
            <w:tcW w:w="709" w:type="dxa"/>
            <w:tcBorders>
              <w:top w:val="single" w:sz="4" w:space="0" w:color="000000"/>
              <w:left w:val="single" w:sz="4" w:space="0" w:color="000000"/>
              <w:bottom w:val="single" w:sz="4" w:space="0" w:color="000000"/>
              <w:right w:val="single" w:sz="4" w:space="0" w:color="000000"/>
            </w:tcBorders>
          </w:tcPr>
          <w:p w14:paraId="70411F03" w14:textId="77777777" w:rsidR="004D3B9E" w:rsidRPr="00627903" w:rsidRDefault="0033341F"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7</w:t>
            </w:r>
          </w:p>
          <w:p w14:paraId="4E6B292A" w14:textId="4C36F0C9" w:rsidR="0033341F" w:rsidRPr="00627903" w:rsidRDefault="0033341F"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(3.5)</w:t>
            </w:r>
          </w:p>
        </w:tc>
        <w:tc>
          <w:tcPr>
            <w:tcW w:w="992" w:type="dxa"/>
            <w:tcBorders>
              <w:top w:val="single" w:sz="4" w:space="0" w:color="000000"/>
              <w:left w:val="single" w:sz="4" w:space="0" w:color="000000"/>
              <w:bottom w:val="single" w:sz="4" w:space="0" w:color="000000"/>
              <w:right w:val="single" w:sz="4" w:space="0" w:color="000000"/>
            </w:tcBorders>
          </w:tcPr>
          <w:p w14:paraId="1BCD9090" w14:textId="77777777" w:rsidR="004D3B9E" w:rsidRPr="00627903" w:rsidRDefault="0033341F"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49</w:t>
            </w:r>
          </w:p>
          <w:p w14:paraId="00171471" w14:textId="61B3DD20" w:rsidR="0033341F" w:rsidRPr="00627903" w:rsidRDefault="0033341F"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(24.5)</w:t>
            </w:r>
          </w:p>
        </w:tc>
        <w:tc>
          <w:tcPr>
            <w:tcW w:w="992" w:type="dxa"/>
            <w:tcBorders>
              <w:top w:val="single" w:sz="4" w:space="0" w:color="000000"/>
              <w:left w:val="single" w:sz="4" w:space="0" w:color="000000"/>
              <w:bottom w:val="single" w:sz="4" w:space="0" w:color="000000"/>
              <w:right w:val="single" w:sz="4" w:space="0" w:color="000000"/>
            </w:tcBorders>
          </w:tcPr>
          <w:p w14:paraId="5E843164" w14:textId="77777777" w:rsidR="004D3B9E" w:rsidRPr="00627903" w:rsidRDefault="0033341F"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18</w:t>
            </w:r>
          </w:p>
          <w:p w14:paraId="1077E0E9" w14:textId="6A6CAC75" w:rsidR="0033341F" w:rsidRPr="00627903" w:rsidRDefault="0033341F"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(9.0)</w:t>
            </w:r>
          </w:p>
        </w:tc>
        <w:tc>
          <w:tcPr>
            <w:tcW w:w="993" w:type="dxa"/>
            <w:tcBorders>
              <w:top w:val="single" w:sz="4" w:space="0" w:color="000000"/>
              <w:left w:val="single" w:sz="4" w:space="0" w:color="000000"/>
              <w:bottom w:val="single" w:sz="4" w:space="0" w:color="000000"/>
              <w:right w:val="single" w:sz="4" w:space="0" w:color="000000"/>
            </w:tcBorders>
          </w:tcPr>
          <w:p w14:paraId="2852A8CD" w14:textId="77777777" w:rsidR="004D3B9E" w:rsidRPr="00627903" w:rsidRDefault="0033341F"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40</w:t>
            </w:r>
          </w:p>
          <w:p w14:paraId="61FC046A" w14:textId="432FEA72" w:rsidR="0033341F" w:rsidRPr="00627903" w:rsidRDefault="0033341F"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(20.0)</w:t>
            </w:r>
          </w:p>
        </w:tc>
        <w:tc>
          <w:tcPr>
            <w:tcW w:w="992" w:type="dxa"/>
            <w:tcBorders>
              <w:top w:val="single" w:sz="4" w:space="0" w:color="000000"/>
              <w:left w:val="single" w:sz="4" w:space="0" w:color="000000"/>
              <w:bottom w:val="single" w:sz="4" w:space="0" w:color="000000"/>
              <w:right w:val="single" w:sz="4" w:space="0" w:color="000000"/>
            </w:tcBorders>
          </w:tcPr>
          <w:p w14:paraId="06519925" w14:textId="77777777" w:rsidR="004D3B9E" w:rsidRPr="00627903" w:rsidRDefault="0033341F"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14</w:t>
            </w:r>
          </w:p>
          <w:p w14:paraId="1C423FBA" w14:textId="310E3979" w:rsidR="006915DB" w:rsidRPr="00627903" w:rsidRDefault="006915DB"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(7.0)</w:t>
            </w:r>
          </w:p>
        </w:tc>
        <w:tc>
          <w:tcPr>
            <w:tcW w:w="850" w:type="dxa"/>
            <w:tcBorders>
              <w:top w:val="single" w:sz="4" w:space="0" w:color="000000"/>
              <w:left w:val="single" w:sz="4" w:space="0" w:color="000000"/>
              <w:bottom w:val="single" w:sz="4" w:space="0" w:color="000000"/>
              <w:right w:val="single" w:sz="4" w:space="0" w:color="000000"/>
            </w:tcBorders>
          </w:tcPr>
          <w:p w14:paraId="662A1C14" w14:textId="77777777" w:rsidR="004D3B9E" w:rsidRPr="00627903" w:rsidRDefault="0033341F"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20</w:t>
            </w:r>
          </w:p>
          <w:p w14:paraId="34939571" w14:textId="73079CB2" w:rsidR="006915DB" w:rsidRPr="00627903" w:rsidRDefault="006915DB"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(10.0)</w:t>
            </w:r>
          </w:p>
        </w:tc>
        <w:tc>
          <w:tcPr>
            <w:tcW w:w="851" w:type="dxa"/>
            <w:tcBorders>
              <w:top w:val="single" w:sz="4" w:space="0" w:color="000000"/>
              <w:left w:val="single" w:sz="4" w:space="0" w:color="000000"/>
              <w:bottom w:val="single" w:sz="4" w:space="0" w:color="000000"/>
              <w:right w:val="single" w:sz="4" w:space="0" w:color="000000"/>
            </w:tcBorders>
          </w:tcPr>
          <w:p w14:paraId="68905619" w14:textId="77777777" w:rsidR="004D3B9E" w:rsidRPr="00627903" w:rsidRDefault="00286B52"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52</w:t>
            </w:r>
          </w:p>
          <w:p w14:paraId="1CD8E5D9" w14:textId="1EF29955" w:rsidR="006915DB" w:rsidRPr="00627903" w:rsidRDefault="006915DB" w:rsidP="00667A0C">
            <w:pPr>
              <w:pStyle w:val="Tabelleninhalt"/>
              <w:widowControl/>
              <w:suppressAutoHyphens/>
              <w:spacing w:before="0"/>
              <w:jc w:val="right"/>
              <w:rPr>
                <w:rFonts w:asciiTheme="minorHAnsi" w:hAnsiTheme="minorHAnsi" w:cstheme="minorHAnsi"/>
                <w:sz w:val="20"/>
                <w:szCs w:val="20"/>
              </w:rPr>
            </w:pPr>
            <w:r w:rsidRPr="00627903">
              <w:rPr>
                <w:rFonts w:asciiTheme="minorHAnsi" w:hAnsiTheme="minorHAnsi" w:cstheme="minorHAnsi"/>
                <w:sz w:val="20"/>
                <w:szCs w:val="20"/>
              </w:rPr>
              <w:t>(26.0)</w:t>
            </w:r>
          </w:p>
        </w:tc>
      </w:tr>
    </w:tbl>
    <w:p w14:paraId="0BE37320" w14:textId="365AC7B1" w:rsidR="00797886" w:rsidRPr="00797886" w:rsidRDefault="00797886" w:rsidP="00797886">
      <w:pPr>
        <w:pStyle w:val="Caption"/>
      </w:pPr>
      <w:r>
        <w:t xml:space="preserve">Table 1: </w:t>
      </w:r>
      <w:r w:rsidR="004D3B9E">
        <w:t xml:space="preserve">Translations chosen in German for sentences that were translated to Czech using </w:t>
      </w:r>
      <w:proofErr w:type="spellStart"/>
      <w:r w:rsidR="004D3B9E" w:rsidRPr="004D3B9E">
        <w:rPr>
          <w:i/>
        </w:rPr>
        <w:t>snad</w:t>
      </w:r>
      <w:proofErr w:type="spellEnd"/>
      <w:r w:rsidR="004D3B9E">
        <w:t>. Absolute and relative count, divided by sentence type</w:t>
      </w:r>
    </w:p>
    <w:p w14:paraId="16B09BCD" w14:textId="6F124768" w:rsidR="00AB181E" w:rsidRPr="005318C2" w:rsidRDefault="0044372D">
      <w:pPr>
        <w:rPr>
          <w:lang w:val="en"/>
        </w:rPr>
      </w:pPr>
      <w:r w:rsidRPr="0044372D">
        <w:rPr>
          <w:lang w:val="en"/>
        </w:rPr>
        <w:t xml:space="preserve">This corpus study cannot be compared to a translation task that asks translators to choose the most literal translation, and therefore cannot account for whether native speakers would translate a Czech sentence containing </w:t>
      </w:r>
      <w:proofErr w:type="spellStart"/>
      <w:r w:rsidRPr="0044372D">
        <w:rPr>
          <w:i/>
          <w:iCs/>
          <w:lang w:val="en"/>
        </w:rPr>
        <w:t>snad</w:t>
      </w:r>
      <w:proofErr w:type="spellEnd"/>
      <w:r w:rsidRPr="0044372D">
        <w:rPr>
          <w:lang w:val="en"/>
        </w:rPr>
        <w:t xml:space="preserve"> with </w:t>
      </w:r>
      <w:proofErr w:type="spellStart"/>
      <w:r w:rsidRPr="0044372D">
        <w:rPr>
          <w:i/>
          <w:iCs/>
          <w:lang w:val="en"/>
        </w:rPr>
        <w:t>wohl</w:t>
      </w:r>
      <w:proofErr w:type="spellEnd"/>
      <w:r w:rsidRPr="0044372D">
        <w:rPr>
          <w:lang w:val="en"/>
        </w:rPr>
        <w:t xml:space="preserve"> in German or not. However, it shows the variety of stance markers used when translating a sentence from English, and that modal particles are used, even though English itself does not use modal particles for expressing </w:t>
      </w:r>
      <w:r w:rsidR="00751CAF">
        <w:rPr>
          <w:lang w:val="en"/>
        </w:rPr>
        <w:t>confidence</w:t>
      </w:r>
      <w:r w:rsidRPr="0044372D">
        <w:rPr>
          <w:lang w:val="en"/>
        </w:rPr>
        <w:t xml:space="preserve"> or attitude </w:t>
      </w:r>
      <w:r w:rsidR="009F6CA7">
        <w:rPr>
          <w:lang w:val="en"/>
        </w:rPr>
        <w:fldChar w:fldCharType="begin"/>
      </w:r>
      <w:r w:rsidR="009F6CA7">
        <w:rPr>
          <w:lang w:val="en"/>
        </w:rPr>
        <w:instrText xml:space="preserve"> ADDIN ZOTERO_ITEM CSL_CITATION {"citationID":"2k17trax","properties":{"custom":"(cf. Grosz 2022)","formattedCitation":"(cf. Grosz 2022)","plainCitation":"(cf. Grosz 2022)","noteIndex":0},"citationItems":[{"id":1246,"uris":["http://zotero.org/users/8361915/items/XGRIHUVP"],"itemData":{"id":1246,"type":"chapter","collection-title":"Studies in Language Companion Series","container-title":"Particles in German, English, and Beyond","event-place":"Amsterdam","ISBN":"978-90-272-1133-0","language":"en","note":"DOI: 10.1075/slcs.224","page":"243-268","publisher":"John Benjamins Publishing Company","publisher-place":"Amsterdam","source":"DOI.org (Crossref)","title":"Scalarity as a meaning atom in wohl-type particles","URL":"http://www.jbe-platform.com/content/books/9789027257673","volume":"224","editor":[{"family":"Gergel","given":"Remus"},{"family":"Reich","given":"Ingo"},{"family":"Speyer","given":"Augustin"}],"author":[{"family":"Grosz","given":"Patrick"}],"accessed":{"date-parts":[["2023",1,25]]},"issued":{"date-parts":[["2022"]]}}}],"schema":"https://github.com/citation-style-language/schema/raw/master/csl-citation.json"} </w:instrText>
      </w:r>
      <w:r w:rsidR="009F6CA7">
        <w:rPr>
          <w:lang w:val="en"/>
        </w:rPr>
        <w:fldChar w:fldCharType="separate"/>
      </w:r>
      <w:r w:rsidR="009F6CA7" w:rsidRPr="009F6CA7">
        <w:rPr>
          <w:rFonts w:cs="Libertinus Serif"/>
        </w:rPr>
        <w:t>(cf. Grosz 2022)</w:t>
      </w:r>
      <w:r w:rsidR="009F6CA7">
        <w:rPr>
          <w:lang w:val="en"/>
        </w:rPr>
        <w:fldChar w:fldCharType="end"/>
      </w:r>
      <w:r w:rsidRPr="0044372D">
        <w:rPr>
          <w:lang w:val="en"/>
        </w:rPr>
        <w:t xml:space="preserve">. </w:t>
      </w:r>
    </w:p>
    <w:p w14:paraId="4AE37375" w14:textId="77777777" w:rsidR="00AB181E" w:rsidRPr="005C123D" w:rsidRDefault="00224AA6">
      <w:pPr>
        <w:pStyle w:val="TableofAuthorities"/>
        <w:rPr>
          <w:lang w:val="en-US"/>
        </w:rPr>
      </w:pPr>
      <w:r w:rsidRPr="005C123D">
        <w:rPr>
          <w:lang w:val="en-US"/>
        </w:rPr>
        <w:t>References</w:t>
      </w:r>
    </w:p>
    <w:p w14:paraId="59B5F532" w14:textId="77777777" w:rsidR="00A8107F" w:rsidRPr="00A8107F" w:rsidRDefault="001E4E6F" w:rsidP="00A8107F">
      <w:pPr>
        <w:pStyle w:val="Bibliography"/>
        <w:spacing w:line="240" w:lineRule="auto"/>
        <w:contextualSpacing/>
        <w:rPr>
          <w:rFonts w:cs="Libertinus Serif"/>
          <w:sz w:val="19"/>
          <w:lang w:val="de-DE"/>
        </w:rPr>
      </w:pPr>
      <w:r w:rsidRPr="009F6CA7">
        <w:rPr>
          <w:rFonts w:cs="Libertinus Serif"/>
          <w:sz w:val="19"/>
          <w:szCs w:val="19"/>
        </w:rPr>
        <w:fldChar w:fldCharType="begin"/>
      </w:r>
      <w:r w:rsidR="00A8107F">
        <w:rPr>
          <w:rFonts w:cs="Libertinus Serif"/>
          <w:sz w:val="19"/>
          <w:szCs w:val="19"/>
          <w:lang w:val="en-US"/>
        </w:rPr>
        <w:instrText xml:space="preserve"> ADDIN ZOTERO_BIBL {"uncited":[],"omitted":[],"custom":[]} CSL_BIBLIOGRAPHY </w:instrText>
      </w:r>
      <w:r w:rsidRPr="009F6CA7">
        <w:rPr>
          <w:rFonts w:cs="Libertinus Serif"/>
          <w:sz w:val="19"/>
          <w:szCs w:val="19"/>
        </w:rPr>
        <w:fldChar w:fldCharType="separate"/>
      </w:r>
      <w:r w:rsidR="00A8107F" w:rsidRPr="00A8107F">
        <w:rPr>
          <w:rFonts w:cs="Libertinus Serif"/>
          <w:sz w:val="19"/>
        </w:rPr>
        <w:t xml:space="preserve">Biber, Douglas/Johansson, Stig/Leech, Geoffrey/Conrad, Susan/Finegan, Edward (1999): The Longman grammar of spoken and written English. </w:t>
      </w:r>
      <w:r w:rsidR="00A8107F" w:rsidRPr="00A8107F">
        <w:rPr>
          <w:rFonts w:cs="Libertinus Serif"/>
          <w:sz w:val="19"/>
          <w:lang w:val="de-DE"/>
        </w:rPr>
        <w:t>London: Longman.</w:t>
      </w:r>
    </w:p>
    <w:p w14:paraId="348C6105" w14:textId="77777777" w:rsidR="00A8107F" w:rsidRPr="00A8107F" w:rsidRDefault="00A8107F" w:rsidP="00A8107F">
      <w:pPr>
        <w:pStyle w:val="Bibliography"/>
        <w:spacing w:line="240" w:lineRule="auto"/>
        <w:contextualSpacing/>
        <w:rPr>
          <w:rFonts w:cs="Libertinus Serif"/>
          <w:sz w:val="19"/>
          <w:lang w:val="de-DE"/>
        </w:rPr>
      </w:pPr>
      <w:r w:rsidRPr="00A8107F">
        <w:rPr>
          <w:rFonts w:cs="Libertinus Serif"/>
          <w:sz w:val="19"/>
          <w:lang w:val="de-DE"/>
        </w:rPr>
        <w:t>Birckmann, Holger (1991): Die tschechischen Äquivalente zu den deutschen Partikeln denn, doch und ja.</w:t>
      </w:r>
    </w:p>
    <w:p w14:paraId="0872DF33" w14:textId="77777777" w:rsidR="00A8107F" w:rsidRPr="00A8107F" w:rsidRDefault="00A8107F" w:rsidP="00A8107F">
      <w:pPr>
        <w:pStyle w:val="Bibliography"/>
        <w:spacing w:line="240" w:lineRule="auto"/>
        <w:contextualSpacing/>
        <w:rPr>
          <w:rFonts w:cs="Libertinus Serif"/>
          <w:sz w:val="19"/>
        </w:rPr>
      </w:pPr>
      <w:r w:rsidRPr="00A8107F">
        <w:rPr>
          <w:rFonts w:cs="Libertinus Serif"/>
          <w:sz w:val="19"/>
        </w:rPr>
        <w:t>Grosz, Patrick (2022): Scalarity as a meaning atom in wohl-type particles. In: Gergel, Remus/Reich, Ingo/Speyer, Augustin (eds.): Particles in German, English, and Beyond. Amsterdam: John Benjamins Publishing Company (Studies in Language Companion Series), pp. 243–268. http://doi.org/10.1075/slcs.224.</w:t>
      </w:r>
    </w:p>
    <w:p w14:paraId="39E96DF6" w14:textId="77777777" w:rsidR="00A8107F" w:rsidRPr="00A8107F" w:rsidRDefault="00A8107F" w:rsidP="00A8107F">
      <w:pPr>
        <w:pStyle w:val="Bibliography"/>
        <w:spacing w:line="240" w:lineRule="auto"/>
        <w:contextualSpacing/>
        <w:rPr>
          <w:rFonts w:cs="Libertinus Serif"/>
          <w:sz w:val="19"/>
          <w:lang w:val="de-DE"/>
        </w:rPr>
      </w:pPr>
      <w:r w:rsidRPr="00A8107F">
        <w:rPr>
          <w:rFonts w:cs="Libertinus Serif"/>
          <w:sz w:val="19"/>
          <w:lang w:val="de-DE"/>
        </w:rPr>
        <w:t>Masařic, Zdenĕk (1982): Vorüberlegungen zu den sog. Satzadverbien im Deutschen und Tschechischen. In: Brünner Beiträge zur Germanistik und Nordistik, 3, pp. 21–35.</w:t>
      </w:r>
    </w:p>
    <w:p w14:paraId="4B2C4651" w14:textId="77777777" w:rsidR="00A8107F" w:rsidRPr="00A8107F" w:rsidRDefault="00A8107F" w:rsidP="00A8107F">
      <w:pPr>
        <w:pStyle w:val="Bibliography"/>
        <w:spacing w:line="240" w:lineRule="auto"/>
        <w:contextualSpacing/>
        <w:rPr>
          <w:rFonts w:cs="Libertinus Serif"/>
          <w:sz w:val="19"/>
          <w:lang w:val="de-DE"/>
        </w:rPr>
      </w:pPr>
      <w:r w:rsidRPr="00A8107F">
        <w:rPr>
          <w:rFonts w:cs="Libertinus Serif"/>
          <w:sz w:val="19"/>
          <w:lang w:val="de-DE"/>
        </w:rPr>
        <w:t>Nekula, Marek (1996): System der Partikeln im Deutschen und Tschechischen: unter besonderer Berücksichtigung der Abtönungspartikeln. Tübingen: Niemeyer (Linguistische Arbeiten, 355).</w:t>
      </w:r>
    </w:p>
    <w:p w14:paraId="7C9263FE" w14:textId="77777777" w:rsidR="00A8107F" w:rsidRPr="00A8107F" w:rsidRDefault="00A8107F" w:rsidP="00A8107F">
      <w:pPr>
        <w:pStyle w:val="Bibliography"/>
        <w:spacing w:line="240" w:lineRule="auto"/>
        <w:contextualSpacing/>
        <w:rPr>
          <w:rFonts w:cs="Libertinus Serif"/>
          <w:sz w:val="19"/>
        </w:rPr>
      </w:pPr>
      <w:r w:rsidRPr="00A8107F">
        <w:rPr>
          <w:rFonts w:cs="Libertinus Serif"/>
          <w:sz w:val="19"/>
          <w:lang w:val="de-DE"/>
        </w:rPr>
        <w:t xml:space="preserve">Nekula, Marek (2017): MODIFIKAČNÍ ČÁSTICE. CzechEncy - Nový encyklopedický slovník češtiny. </w:t>
      </w:r>
      <w:r w:rsidRPr="00A8107F">
        <w:rPr>
          <w:rFonts w:cs="Libertinus Serif"/>
          <w:sz w:val="19"/>
        </w:rPr>
        <w:t>Edited by Petr Karlík/Marek Nekula/Jana Pleskalová. https://www.czechency.org/slovnik/MODIFIKAČNÍ ČÁSTICE (last access: 24 January 2023).</w:t>
      </w:r>
    </w:p>
    <w:p w14:paraId="17130DEC" w14:textId="77777777" w:rsidR="00A8107F" w:rsidRPr="00A8107F" w:rsidRDefault="00A8107F" w:rsidP="00A8107F">
      <w:pPr>
        <w:pStyle w:val="Bibliography"/>
        <w:spacing w:line="240" w:lineRule="auto"/>
        <w:contextualSpacing/>
        <w:rPr>
          <w:rFonts w:cs="Libertinus Serif"/>
          <w:sz w:val="19"/>
          <w:lang w:val="de-DE"/>
        </w:rPr>
      </w:pPr>
      <w:r w:rsidRPr="00A8107F">
        <w:rPr>
          <w:rFonts w:cs="Libertinus Serif"/>
          <w:sz w:val="19"/>
          <w:lang w:val="de-DE"/>
        </w:rPr>
        <w:t>Rinas, Karsten (2006): Abtönungspartikeln, das Mittelfeld und die Wackernagelposition. In: brücken: Germanistisches Jahrbuch Tschechien - Slowakei, pp. 331–339.</w:t>
      </w:r>
    </w:p>
    <w:p w14:paraId="5109D9F2" w14:textId="77777777" w:rsidR="00A8107F" w:rsidRPr="00A8107F" w:rsidRDefault="00A8107F" w:rsidP="00A8107F">
      <w:pPr>
        <w:pStyle w:val="Bibliography"/>
        <w:spacing w:line="240" w:lineRule="auto"/>
        <w:contextualSpacing/>
        <w:rPr>
          <w:rFonts w:cs="Libertinus Serif"/>
          <w:sz w:val="19"/>
          <w:lang w:val="de-DE"/>
        </w:rPr>
      </w:pPr>
      <w:r w:rsidRPr="00A8107F">
        <w:rPr>
          <w:rFonts w:cs="Libertinus Serif"/>
          <w:sz w:val="19"/>
          <w:lang w:val="de-DE"/>
        </w:rPr>
        <w:lastRenderedPageBreak/>
        <w:t>Rinas, Karsten (2010): Partikeln als semantische Mumien: Zur Bedeutung von wohl, vielleicht und snad in Ausrufesätzen. In: Acta Facultatis Philosophicae Universitatis Ostraviensis. Studia Germanistica, 6, pp. 113–128.</w:t>
      </w:r>
    </w:p>
    <w:p w14:paraId="01FAF022" w14:textId="77777777" w:rsidR="00A8107F" w:rsidRPr="00A8107F" w:rsidRDefault="00A8107F" w:rsidP="00A8107F">
      <w:pPr>
        <w:pStyle w:val="Bibliography"/>
        <w:spacing w:line="240" w:lineRule="auto"/>
        <w:contextualSpacing/>
        <w:rPr>
          <w:rFonts w:cs="Libertinus Serif"/>
          <w:sz w:val="19"/>
          <w:lang w:val="de-DE"/>
        </w:rPr>
      </w:pPr>
      <w:r w:rsidRPr="00A8107F">
        <w:rPr>
          <w:rFonts w:cs="Libertinus Serif"/>
          <w:sz w:val="19"/>
          <w:lang w:val="de-DE"/>
        </w:rPr>
        <w:t>Spĕváková, Dana (1992): Zu einigen Übersetzungsmöglichkeiten der deutschen Abtönungspartikeln ins Tschechische. In: Brünner Beiträge zur Germanistik und Nordistik, 8, pp. 43–57.</w:t>
      </w:r>
    </w:p>
    <w:p w14:paraId="12DB0C51" w14:textId="77777777" w:rsidR="00A8107F" w:rsidRPr="00A8107F" w:rsidRDefault="00A8107F" w:rsidP="00A8107F">
      <w:pPr>
        <w:pStyle w:val="Bibliography"/>
        <w:spacing w:line="240" w:lineRule="auto"/>
        <w:contextualSpacing/>
        <w:rPr>
          <w:rFonts w:cs="Libertinus Serif"/>
          <w:sz w:val="19"/>
        </w:rPr>
      </w:pPr>
      <w:r w:rsidRPr="00A8107F">
        <w:rPr>
          <w:rFonts w:cs="Libertinus Serif"/>
          <w:sz w:val="19"/>
          <w:lang w:val="de-DE"/>
        </w:rPr>
        <w:t xml:space="preserve">Tiedemann, Joerg (2012): Parallel Data, Tools and Interfaces in OPUS. </w:t>
      </w:r>
      <w:r w:rsidRPr="00A8107F">
        <w:rPr>
          <w:rFonts w:cs="Libertinus Serif"/>
          <w:sz w:val="19"/>
        </w:rPr>
        <w:t>In: Proceedings of the 8th International Conference on Language Resources and Evaluation (LREC 2012).</w:t>
      </w:r>
    </w:p>
    <w:p w14:paraId="7874293C" w14:textId="77777777" w:rsidR="00A8107F" w:rsidRPr="00A8107F" w:rsidRDefault="00A8107F" w:rsidP="00A8107F">
      <w:pPr>
        <w:pStyle w:val="Bibliography"/>
        <w:spacing w:line="240" w:lineRule="auto"/>
        <w:contextualSpacing/>
        <w:rPr>
          <w:rFonts w:cs="Libertinus Serif"/>
          <w:sz w:val="19"/>
          <w:lang w:val="de-DE"/>
        </w:rPr>
      </w:pPr>
      <w:r w:rsidRPr="00A8107F">
        <w:rPr>
          <w:rFonts w:cs="Libertinus Serif"/>
          <w:sz w:val="19"/>
          <w:lang w:val="de-DE"/>
        </w:rPr>
        <w:t>Zimmermann, Malte (2011): Discourse Particles. In: Portner, P./Maienborn, C./Heusinger, K. von (eds.): Semantics. Berlin: Mouton de Gruyter (Handbücher zur Sprach- und Kommunikationswissenschaft HSK, 33), pp. 2011–2038.</w:t>
      </w:r>
    </w:p>
    <w:p w14:paraId="5B96BB78" w14:textId="21F52BA6" w:rsidR="00AB181E" w:rsidRPr="00381709" w:rsidRDefault="001E4E6F">
      <w:pPr>
        <w:pStyle w:val="Heading1"/>
        <w:contextualSpacing/>
        <w:rPr>
          <w:lang w:val="de-DE"/>
        </w:rPr>
      </w:pPr>
      <w:r w:rsidRPr="009F6CA7">
        <w:rPr>
          <w:rFonts w:ascii="Libertinus Serif" w:hAnsi="Libertinus Serif" w:cs="Libertinus Serif"/>
          <w:sz w:val="19"/>
          <w:szCs w:val="19"/>
        </w:rPr>
        <w:fldChar w:fldCharType="end"/>
      </w:r>
      <w:r w:rsidR="00224AA6" w:rsidRPr="00381709">
        <w:rPr>
          <w:lang w:val="de-DE"/>
        </w:rPr>
        <w:t xml:space="preserve">Contact </w:t>
      </w:r>
      <w:proofErr w:type="spellStart"/>
      <w:r w:rsidR="00224AA6" w:rsidRPr="00381709">
        <w:rPr>
          <w:lang w:val="de-DE"/>
        </w:rPr>
        <w:t>information</w:t>
      </w:r>
      <w:proofErr w:type="spellEnd"/>
    </w:p>
    <w:p w14:paraId="40CF370E" w14:textId="642E3D6D" w:rsidR="00AB181E" w:rsidRPr="00381709" w:rsidRDefault="009F6CA7">
      <w:pPr>
        <w:rPr>
          <w:lang w:val="de-DE"/>
        </w:rPr>
      </w:pPr>
      <w:r w:rsidRPr="00381709">
        <w:rPr>
          <w:rStyle w:val="Strong"/>
          <w:lang w:val="de-DE"/>
        </w:rPr>
        <w:t>Hannah J. Seemann</w:t>
      </w:r>
    </w:p>
    <w:p w14:paraId="687FEAB3" w14:textId="797FB35E" w:rsidR="00AB181E" w:rsidRPr="009F6CA7" w:rsidRDefault="009F6CA7">
      <w:pPr>
        <w:rPr>
          <w:lang w:val="de-DE"/>
        </w:rPr>
      </w:pPr>
      <w:r w:rsidRPr="009F6CA7">
        <w:rPr>
          <w:lang w:val="de-DE"/>
        </w:rPr>
        <w:t>Ruhr-Universität Bochum</w:t>
      </w:r>
    </w:p>
    <w:p w14:paraId="0E5BD455" w14:textId="0D64552E" w:rsidR="00AB181E" w:rsidRPr="009F6CA7" w:rsidRDefault="00000000">
      <w:pPr>
        <w:rPr>
          <w:lang w:val="de-DE"/>
        </w:rPr>
      </w:pPr>
      <w:hyperlink r:id="rId7">
        <w:r w:rsidR="009F6CA7" w:rsidRPr="009F6CA7">
          <w:rPr>
            <w:rStyle w:val="Hyperlink"/>
            <w:lang w:val="de-DE"/>
          </w:rPr>
          <w:t>hannah.seemann@r</w:t>
        </w:r>
        <w:r w:rsidR="009F6CA7">
          <w:rPr>
            <w:rStyle w:val="Hyperlink"/>
            <w:lang w:val="de-DE"/>
          </w:rPr>
          <w:t>ub.de</w:t>
        </w:r>
      </w:hyperlink>
    </w:p>
    <w:p w14:paraId="73ED8BA8" w14:textId="77777777" w:rsidR="00AB181E" w:rsidRPr="009F6CA7" w:rsidRDefault="00AB181E">
      <w:pPr>
        <w:pStyle w:val="Literaturverzeichnis1"/>
        <w:ind w:left="0" w:firstLine="0"/>
        <w:rPr>
          <w:lang w:val="de-DE"/>
        </w:rPr>
      </w:pPr>
    </w:p>
    <w:p w14:paraId="7B139082" w14:textId="6CA37E28" w:rsidR="00AB181E" w:rsidRDefault="00AB181E">
      <w:pPr>
        <w:pStyle w:val="Literaturverzeichnis1"/>
        <w:ind w:left="0" w:firstLine="0"/>
        <w:rPr>
          <w:lang w:val="de-DE"/>
        </w:rPr>
      </w:pPr>
    </w:p>
    <w:p w14:paraId="450A7356" w14:textId="638E5C21" w:rsidR="009F6CA7" w:rsidRPr="009F6CA7" w:rsidRDefault="009F6CA7" w:rsidP="009F6CA7">
      <w:pPr>
        <w:rPr>
          <w:lang w:val="de-DE"/>
        </w:rPr>
      </w:pPr>
      <w:r>
        <w:rPr>
          <w:rStyle w:val="Strong"/>
          <w:lang w:val="de-DE"/>
        </w:rPr>
        <w:t xml:space="preserve">Albert </w:t>
      </w:r>
      <w:proofErr w:type="spellStart"/>
      <w:r>
        <w:rPr>
          <w:rStyle w:val="Strong"/>
          <w:lang w:val="de-DE"/>
        </w:rPr>
        <w:t>Marsik</w:t>
      </w:r>
      <w:proofErr w:type="spellEnd"/>
    </w:p>
    <w:p w14:paraId="6F449693" w14:textId="77777777" w:rsidR="00627903" w:rsidRDefault="00EB0911" w:rsidP="00627903">
      <w:pPr>
        <w:rPr>
          <w:lang w:val="de-DE"/>
        </w:rPr>
      </w:pPr>
      <w:proofErr w:type="spellStart"/>
      <w:r>
        <w:rPr>
          <w:lang w:val="de-DE"/>
        </w:rPr>
        <w:t>Univerzita</w:t>
      </w:r>
      <w:proofErr w:type="spellEnd"/>
      <w:r>
        <w:rPr>
          <w:lang w:val="de-DE"/>
        </w:rPr>
        <w:t xml:space="preserve"> </w:t>
      </w:r>
      <w:proofErr w:type="spellStart"/>
      <w:r>
        <w:rPr>
          <w:lang w:val="de-DE"/>
        </w:rPr>
        <w:t>Karlova</w:t>
      </w:r>
      <w:proofErr w:type="spellEnd"/>
    </w:p>
    <w:p w14:paraId="572BC3FC" w14:textId="1C6CE972" w:rsidR="009F6CA7" w:rsidRPr="009F6CA7" w:rsidRDefault="00000000" w:rsidP="00627903">
      <w:pPr>
        <w:rPr>
          <w:lang w:val="de-DE"/>
        </w:rPr>
      </w:pPr>
      <w:hyperlink r:id="rId8" w:history="1">
        <w:r w:rsidR="00627903" w:rsidRPr="00DE7375">
          <w:rPr>
            <w:rStyle w:val="Hyperlink"/>
            <w:lang w:val="de-DE"/>
          </w:rPr>
          <w:t>marsikal@ff.cuni.cz</w:t>
        </w:r>
      </w:hyperlink>
      <w:r w:rsidR="00EB0911">
        <w:rPr>
          <w:u w:color="000080"/>
          <w:lang w:val="de-DE"/>
        </w:rPr>
        <w:t xml:space="preserve"> </w:t>
      </w:r>
    </w:p>
    <w:sectPr w:rsidR="009F6CA7" w:rsidRPr="009F6CA7">
      <w:headerReference w:type="default" r:id="rId9"/>
      <w:footerReference w:type="default" r:id="rId10"/>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9CF7F" w14:textId="77777777" w:rsidR="008D241B" w:rsidRDefault="008D241B">
      <w:pPr>
        <w:spacing w:before="0" w:line="240" w:lineRule="auto"/>
      </w:pPr>
      <w:r>
        <w:separator/>
      </w:r>
    </w:p>
  </w:endnote>
  <w:endnote w:type="continuationSeparator" w:id="0">
    <w:p w14:paraId="6FC1CABC" w14:textId="77777777" w:rsidR="008D241B" w:rsidRDefault="008D241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C893FBDC-FBC5-4523-A4DB-DCF436B8988A}"/>
    <w:embedBold r:id="rId2" w:fontKey="{FBC1F622-71A3-41FE-855E-D1AD64B8F892}"/>
    <w:embedItalic r:id="rId3" w:fontKey="{3044649E-6D28-4121-B409-3650D80E00C9}"/>
  </w:font>
  <w:font w:name="Tahoma">
    <w:panose1 w:val="020B0604030504040204"/>
    <w:charset w:val="00"/>
    <w:family w:val="swiss"/>
    <w:pitch w:val="variable"/>
    <w:sig w:usb0="E1002EFF" w:usb1="C000605B" w:usb2="00000029" w:usb3="00000000" w:csb0="000101FF" w:csb1="00000000"/>
    <w:embedRegular r:id="rId4" w:fontKey="{72CEA4DC-3D93-4761-A212-AA4C89D25F1D}"/>
    <w:embedBold r:id="rId5" w:fontKey="{B418A1F1-48EF-47E4-9DB5-7BA03E0DA277}"/>
    <w:embedItalic r:id="rId6" w:fontKey="{9D2F3821-8396-40F9-BD99-105A4E873739}"/>
  </w:font>
  <w:font w:name="Libertinus Serif">
    <w:altName w:val="Calibri"/>
    <w:panose1 w:val="00000000000000000000"/>
    <w:charset w:val="00"/>
    <w:family w:val="modern"/>
    <w:notTrueType/>
    <w:pitch w:val="variable"/>
    <w:sig w:usb0="E0000AFF" w:usb1="0200E5FB" w:usb2="01000020" w:usb3="00000000" w:csb0="000001BF" w:csb1="00000000"/>
  </w:font>
  <w:font w:name="Fira Sans">
    <w:altName w:val="Fira Sans"/>
    <w:charset w:val="00"/>
    <w:family w:val="swiss"/>
    <w:pitch w:val="variable"/>
    <w:sig w:usb0="600002FF" w:usb1="00000001" w:usb2="00000000" w:usb3="00000000" w:csb0="0000019F" w:csb1="00000000"/>
    <w:embedRegular r:id="rId7" w:fontKey="{D94438CE-3BAA-43F2-90D0-ADCB2FBB55F3}"/>
    <w:embedBold r:id="rId8" w:fontKey="{7CF3AB96-67CF-4520-8643-CEE1336A1836}"/>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embedRegular r:id="rId9" w:fontKey="{36CBD7D3-C719-4852-AB08-C516D6F4064F}"/>
  </w:font>
  <w:font w:name="Liberation Sans">
    <w:altName w:val="Arial"/>
    <w:charset w:val="00"/>
    <w:family w:val="swiss"/>
    <w:pitch w:val="variable"/>
    <w:sig w:usb0="E0000AFF" w:usb1="500078FF" w:usb2="00000021" w:usb3="00000000" w:csb0="000001BF" w:csb1="00000000"/>
    <w:embedBold r:id="rId10" w:fontKey="{FA241501-44A8-486B-A95C-E707BC0EF63A}"/>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1" w:fontKey="{8943D3F5-4D2A-4D87-BC73-1455CC196E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5134E" w14:textId="77777777" w:rsidR="00AB181E" w:rsidRDefault="00224AA6" w:rsidP="00694682">
    <w:pPr>
      <w:pStyle w:val="Footer"/>
      <w:jc w:val="right"/>
    </w:pPr>
    <w:r>
      <w:rPr>
        <w:rStyle w:val="PageNumber"/>
        <w:rFonts w:cs="Libertinus Serif"/>
      </w:rPr>
      <w:fldChar w:fldCharType="begin"/>
    </w:r>
    <w:r>
      <w:rPr>
        <w:rStyle w:val="PageNumber"/>
        <w:rFonts w:cs="Libertinus Serif"/>
      </w:rPr>
      <w:instrText xml:space="preserve"> PAGE </w:instrText>
    </w:r>
    <w:r>
      <w:rPr>
        <w:rStyle w:val="PageNumber"/>
        <w:rFonts w:cs="Libertinus Serif"/>
      </w:rPr>
      <w:fldChar w:fldCharType="separate"/>
    </w:r>
    <w:r w:rsidR="004C5262">
      <w:rPr>
        <w:rStyle w:val="PageNumber"/>
        <w:rFonts w:cs="Libertinus Serif"/>
        <w:noProof/>
      </w:rPr>
      <w:t>3</w:t>
    </w:r>
    <w:r>
      <w:rPr>
        <w:rStyle w:val="PageNumber"/>
        <w:rFonts w:cs="Libertinus Serif"/>
      </w:rPr>
      <w:fldChar w:fldCharType="end"/>
    </w:r>
  </w:p>
  <w:p w14:paraId="5C726FD3" w14:textId="77777777" w:rsidR="00AB181E" w:rsidRDefault="00AB181E">
    <w:pPr>
      <w:pStyle w:val="Footer"/>
    </w:pPr>
  </w:p>
  <w:p w14:paraId="2D38DF59"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416C5" w14:textId="77777777" w:rsidR="008D241B" w:rsidRDefault="008D241B">
      <w:pPr>
        <w:rPr>
          <w:sz w:val="12"/>
        </w:rPr>
      </w:pPr>
      <w:r>
        <w:separator/>
      </w:r>
    </w:p>
  </w:footnote>
  <w:footnote w:type="continuationSeparator" w:id="0">
    <w:p w14:paraId="26A2F14A" w14:textId="77777777" w:rsidR="008D241B" w:rsidRDefault="008D241B">
      <w:pPr>
        <w:rPr>
          <w:sz w:val="12"/>
        </w:rPr>
      </w:pPr>
      <w:r>
        <w:continuationSeparator/>
      </w:r>
    </w:p>
  </w:footnote>
  <w:footnote w:id="1">
    <w:p w14:paraId="6A4D992A" w14:textId="77777777" w:rsidR="0044372D" w:rsidRPr="0044372D" w:rsidRDefault="0044372D" w:rsidP="00D2372C">
      <w:pPr>
        <w:spacing w:line="240" w:lineRule="auto"/>
        <w:contextualSpacing/>
        <w:rPr>
          <w:rFonts w:eastAsia="Times New Roman" w:cs="Libertinus Serif"/>
          <w:sz w:val="19"/>
          <w:szCs w:val="19"/>
        </w:rPr>
      </w:pPr>
      <w:r w:rsidRPr="0044372D">
        <w:rPr>
          <w:rFonts w:cs="Libertinus Serif"/>
          <w:sz w:val="19"/>
          <w:szCs w:val="19"/>
          <w:vertAlign w:val="superscript"/>
        </w:rPr>
        <w:footnoteRef/>
      </w:r>
      <w:r w:rsidRPr="0044372D">
        <w:rPr>
          <w:rFonts w:cs="Libertinus Serif"/>
          <w:sz w:val="19"/>
          <w:szCs w:val="19"/>
        </w:rPr>
        <w:t xml:space="preserve"> </w:t>
      </w:r>
      <w:r w:rsidRPr="0044372D">
        <w:rPr>
          <w:rFonts w:eastAsia="Times New Roman" w:cs="Libertinus Serif"/>
          <w:sz w:val="19"/>
          <w:szCs w:val="19"/>
        </w:rPr>
        <w:t>Other frequently used terms are ‘discourse particles’ in English, ‘</w:t>
      </w:r>
      <w:proofErr w:type="spellStart"/>
      <w:r w:rsidRPr="0044372D">
        <w:rPr>
          <w:rFonts w:eastAsia="Times New Roman" w:cs="Libertinus Serif"/>
          <w:sz w:val="19"/>
          <w:szCs w:val="19"/>
        </w:rPr>
        <w:t>Abtönungs</w:t>
      </w:r>
      <w:proofErr w:type="spellEnd"/>
      <w:r w:rsidRPr="0044372D">
        <w:rPr>
          <w:rFonts w:eastAsia="Times New Roman" w:cs="Libertinus Serif"/>
          <w:sz w:val="19"/>
          <w:szCs w:val="19"/>
        </w:rPr>
        <w:t>-’, ‘</w:t>
      </w:r>
      <w:proofErr w:type="spellStart"/>
      <w:r w:rsidRPr="0044372D">
        <w:rPr>
          <w:rFonts w:eastAsia="Times New Roman" w:cs="Libertinus Serif"/>
          <w:sz w:val="19"/>
          <w:szCs w:val="19"/>
        </w:rPr>
        <w:t>Diskurs</w:t>
      </w:r>
      <w:proofErr w:type="spellEnd"/>
      <w:r w:rsidRPr="0044372D">
        <w:rPr>
          <w:rFonts w:eastAsia="Times New Roman" w:cs="Libertinus Serif"/>
          <w:sz w:val="19"/>
          <w:szCs w:val="19"/>
        </w:rPr>
        <w:t>’- or ‘</w:t>
      </w:r>
      <w:proofErr w:type="spellStart"/>
      <w:r w:rsidRPr="0044372D">
        <w:rPr>
          <w:rFonts w:eastAsia="Times New Roman" w:cs="Libertinus Serif"/>
          <w:sz w:val="19"/>
          <w:szCs w:val="19"/>
        </w:rPr>
        <w:t>Modalpartikeln</w:t>
      </w:r>
      <w:proofErr w:type="spellEnd"/>
      <w:r w:rsidRPr="0044372D">
        <w:rPr>
          <w:rFonts w:eastAsia="Times New Roman" w:cs="Libertinus Serif"/>
          <w:sz w:val="19"/>
          <w:szCs w:val="19"/>
        </w:rPr>
        <w:t>’ in German or ‘</w:t>
      </w:r>
      <w:proofErr w:type="spellStart"/>
      <w:r w:rsidRPr="0044372D">
        <w:rPr>
          <w:rFonts w:eastAsia="Times New Roman" w:cs="Libertinus Serif"/>
          <w:color w:val="202122"/>
          <w:sz w:val="19"/>
          <w:szCs w:val="19"/>
          <w:highlight w:val="white"/>
        </w:rPr>
        <w:t>č</w:t>
      </w:r>
      <w:r w:rsidRPr="0044372D">
        <w:rPr>
          <w:rFonts w:eastAsia="Times New Roman" w:cs="Libertinus Serif"/>
          <w:sz w:val="19"/>
          <w:szCs w:val="19"/>
        </w:rPr>
        <w:t>ástice</w:t>
      </w:r>
      <w:proofErr w:type="spellEnd"/>
      <w:r w:rsidRPr="0044372D">
        <w:rPr>
          <w:rFonts w:eastAsia="Times New Roman" w:cs="Libertinus Serif"/>
          <w:sz w:val="19"/>
          <w:szCs w:val="19"/>
        </w:rPr>
        <w:t xml:space="preserve"> </w:t>
      </w:r>
      <w:proofErr w:type="spellStart"/>
      <w:r w:rsidRPr="0044372D">
        <w:rPr>
          <w:rFonts w:eastAsia="Times New Roman" w:cs="Libertinus Serif"/>
          <w:sz w:val="19"/>
          <w:szCs w:val="19"/>
        </w:rPr>
        <w:t>modifikační</w:t>
      </w:r>
      <w:proofErr w:type="spellEnd"/>
      <w:r w:rsidRPr="0044372D">
        <w:rPr>
          <w:rFonts w:eastAsia="Times New Roman" w:cs="Libertinus Serif"/>
          <w:sz w:val="19"/>
          <w:szCs w:val="19"/>
        </w:rPr>
        <w:t>’ in Czech.</w:t>
      </w:r>
    </w:p>
  </w:footnote>
  <w:footnote w:id="2">
    <w:p w14:paraId="56D58BF4" w14:textId="77777777" w:rsidR="0044372D" w:rsidRPr="0044372D" w:rsidRDefault="0044372D" w:rsidP="00D2372C">
      <w:pPr>
        <w:spacing w:line="240" w:lineRule="auto"/>
        <w:contextualSpacing/>
        <w:rPr>
          <w:rFonts w:eastAsia="Times New Roman" w:cs="Libertinus Serif"/>
          <w:sz w:val="19"/>
          <w:szCs w:val="19"/>
        </w:rPr>
      </w:pPr>
      <w:r w:rsidRPr="0044372D">
        <w:rPr>
          <w:rFonts w:cs="Libertinus Serif"/>
          <w:sz w:val="19"/>
          <w:szCs w:val="19"/>
          <w:vertAlign w:val="superscript"/>
        </w:rPr>
        <w:footnoteRef/>
      </w:r>
      <w:r w:rsidRPr="0044372D">
        <w:rPr>
          <w:rFonts w:eastAsia="Times New Roman" w:cs="Libertinus Serif"/>
          <w:sz w:val="19"/>
          <w:szCs w:val="19"/>
        </w:rPr>
        <w:t xml:space="preserve"> </w:t>
      </w:r>
      <w:hyperlink r:id="rId1">
        <w:r w:rsidRPr="0044372D">
          <w:rPr>
            <w:rFonts w:eastAsia="Times New Roman" w:cs="Libertinus Serif"/>
            <w:color w:val="1155CC"/>
            <w:sz w:val="19"/>
            <w:szCs w:val="19"/>
            <w:u w:val="single"/>
          </w:rPr>
          <w:t>https://www.ted.com/participate/translate</w:t>
        </w:r>
      </w:hyperlink>
      <w:r w:rsidRPr="0044372D">
        <w:rPr>
          <w:rFonts w:eastAsia="Times New Roman" w:cs="Libertinus Serif"/>
          <w:sz w:val="19"/>
          <w:szCs w:val="19"/>
        </w:rPr>
        <w:t xml:space="preserve"> </w:t>
      </w:r>
    </w:p>
  </w:footnote>
  <w:footnote w:id="3">
    <w:p w14:paraId="5966E967" w14:textId="77777777" w:rsidR="0044372D" w:rsidRDefault="0044372D" w:rsidP="00D2372C">
      <w:pPr>
        <w:spacing w:line="240" w:lineRule="auto"/>
        <w:contextualSpacing/>
        <w:rPr>
          <w:rFonts w:ascii="Times New Roman" w:eastAsia="Times New Roman" w:hAnsi="Times New Roman" w:cs="Times New Roman"/>
          <w:sz w:val="20"/>
          <w:szCs w:val="20"/>
        </w:rPr>
      </w:pPr>
      <w:r w:rsidRPr="0044372D">
        <w:rPr>
          <w:rFonts w:cs="Libertinus Serif"/>
          <w:sz w:val="19"/>
          <w:szCs w:val="19"/>
          <w:vertAlign w:val="superscript"/>
        </w:rPr>
        <w:footnoteRef/>
      </w:r>
      <w:r w:rsidRPr="0044372D">
        <w:rPr>
          <w:rFonts w:eastAsia="Times New Roman" w:cs="Libertinus Serif"/>
          <w:sz w:val="19"/>
          <w:szCs w:val="19"/>
        </w:rPr>
        <w:t xml:space="preserve"> </w:t>
      </w:r>
      <w:hyperlink r:id="rId2">
        <w:r w:rsidRPr="0044372D">
          <w:rPr>
            <w:rFonts w:eastAsia="Times New Roman" w:cs="Libertinus Serif"/>
            <w:color w:val="1155CC"/>
            <w:sz w:val="19"/>
            <w:szCs w:val="19"/>
            <w:highlight w:val="white"/>
            <w:u w:val="single"/>
          </w:rPr>
          <w:t>https://opus.nlpl.eu/index.php</w:t>
        </w:r>
      </w:hyperlink>
      <w:r>
        <w:rPr>
          <w:rFonts w:ascii="Times New Roman" w:eastAsia="Times New Roman" w:hAnsi="Times New Roman" w:cs="Times New Roman"/>
          <w:sz w:val="20"/>
          <w:szCs w:val="20"/>
        </w:rPr>
        <w:t xml:space="preserve"> </w:t>
      </w:r>
    </w:p>
  </w:footnote>
  <w:footnote w:id="4">
    <w:p w14:paraId="782DFFA6" w14:textId="1CA9EAAC" w:rsidR="004D3B9E" w:rsidRPr="004D3B9E" w:rsidRDefault="004D3B9E">
      <w:pPr>
        <w:pStyle w:val="FootnoteText"/>
        <w:rPr>
          <w:lang w:val="en-US"/>
        </w:rPr>
      </w:pPr>
      <w:r>
        <w:rPr>
          <w:rStyle w:val="FootnoteReference"/>
        </w:rPr>
        <w:footnoteRef/>
      </w:r>
      <w:r>
        <w:t xml:space="preserve"> </w:t>
      </w:r>
      <w:r>
        <w:rPr>
          <w:lang w:val="en-US"/>
        </w:rPr>
        <w:t>Including other modal particles, focus particles, and intensifying particles.</w:t>
      </w:r>
    </w:p>
  </w:footnote>
  <w:footnote w:id="5">
    <w:p w14:paraId="1251EA45" w14:textId="3F036F20" w:rsidR="004D3B9E" w:rsidRPr="004D3B9E" w:rsidRDefault="004D3B9E">
      <w:pPr>
        <w:pStyle w:val="FootnoteText"/>
        <w:rPr>
          <w:lang w:val="de-DE"/>
        </w:rPr>
      </w:pPr>
      <w:r>
        <w:rPr>
          <w:rStyle w:val="FootnoteReference"/>
        </w:rPr>
        <w:footnoteRef/>
      </w:r>
      <w:r w:rsidRPr="004D3B9E">
        <w:rPr>
          <w:lang w:val="de-DE"/>
        </w:rPr>
        <w:t xml:space="preserve"> E.g., </w:t>
      </w:r>
      <w:r w:rsidRPr="004D3B9E">
        <w:rPr>
          <w:i/>
          <w:lang w:val="de-DE"/>
        </w:rPr>
        <w:t>denke ich</w:t>
      </w:r>
      <w:r w:rsidRPr="004D3B9E">
        <w:rPr>
          <w:lang w:val="de-DE"/>
        </w:rPr>
        <w:t xml:space="preserve"> (‘I </w:t>
      </w:r>
      <w:proofErr w:type="spellStart"/>
      <w:r w:rsidRPr="004D3B9E">
        <w:rPr>
          <w:lang w:val="de-DE"/>
        </w:rPr>
        <w:t>think</w:t>
      </w:r>
      <w:proofErr w:type="spellEnd"/>
      <w:r w:rsidRPr="004D3B9E">
        <w:rPr>
          <w:lang w:val="de-DE"/>
        </w:rPr>
        <w:t xml:space="preserve">’), </w:t>
      </w:r>
      <w:r w:rsidRPr="004D3B9E">
        <w:rPr>
          <w:i/>
          <w:lang w:val="de-DE"/>
        </w:rPr>
        <w:t>ich hoffe</w:t>
      </w:r>
      <w:r w:rsidRPr="004D3B9E">
        <w:rPr>
          <w:lang w:val="de-DE"/>
        </w:rPr>
        <w:t xml:space="preserve"> (‘I </w:t>
      </w:r>
      <w:proofErr w:type="spellStart"/>
      <w:r w:rsidRPr="004D3B9E">
        <w:rPr>
          <w:lang w:val="de-DE"/>
        </w:rPr>
        <w:t>hope</w:t>
      </w:r>
      <w:proofErr w:type="spellEnd"/>
      <w:r w:rsidRPr="004D3B9E">
        <w:rPr>
          <w:lang w:val="de-DE"/>
        </w:rPr>
        <w:t xml:space="preserve">’), </w:t>
      </w:r>
      <w:r>
        <w:rPr>
          <w:i/>
          <w:lang w:val="de-DE"/>
        </w:rPr>
        <w:t xml:space="preserve">wenn nicht sogar </w:t>
      </w:r>
      <w:r w:rsidRPr="004D3B9E">
        <w:rPr>
          <w:lang w:val="de-DE"/>
        </w:rPr>
        <w:t>(‘</w:t>
      </w:r>
      <w:proofErr w:type="spellStart"/>
      <w:r>
        <w:rPr>
          <w:lang w:val="de-DE"/>
        </w:rPr>
        <w:t>if</w:t>
      </w:r>
      <w:proofErr w:type="spellEnd"/>
      <w:r>
        <w:rPr>
          <w:lang w:val="de-DE"/>
        </w:rPr>
        <w:t xml:space="preserve"> not (</w:t>
      </w:r>
      <w:proofErr w:type="spellStart"/>
      <w:r>
        <w:rPr>
          <w:lang w:val="de-DE"/>
        </w:rPr>
        <w:t>even</w:t>
      </w:r>
      <w:proofErr w:type="spellEnd"/>
      <w:r>
        <w:rPr>
          <w:lang w:val="de-DE"/>
        </w:rPr>
        <w:t>)</w:t>
      </w:r>
      <w:r w:rsidRPr="004D3B9E">
        <w:rPr>
          <w:lang w:val="de-DE"/>
        </w:rPr>
        <w:t>’), etc.</w:t>
      </w:r>
    </w:p>
  </w:footnote>
  <w:footnote w:id="6">
    <w:p w14:paraId="3D7A7EFD" w14:textId="5A305BDF" w:rsidR="004D3B9E" w:rsidRPr="004D3B9E" w:rsidRDefault="004D3B9E">
      <w:pPr>
        <w:pStyle w:val="FootnoteText"/>
        <w:rPr>
          <w:lang w:val="fr-FR"/>
        </w:rPr>
      </w:pPr>
      <w:r>
        <w:rPr>
          <w:rStyle w:val="FootnoteReference"/>
        </w:rPr>
        <w:footnoteRef/>
      </w:r>
      <w:r w:rsidRPr="004D3B9E">
        <w:rPr>
          <w:lang w:val="fr-FR"/>
        </w:rPr>
        <w:t xml:space="preserve"> E.g., </w:t>
      </w:r>
      <w:proofErr w:type="spellStart"/>
      <w:r w:rsidRPr="004D3B9E">
        <w:rPr>
          <w:lang w:val="fr-FR"/>
        </w:rPr>
        <w:t>using</w:t>
      </w:r>
      <w:proofErr w:type="spellEnd"/>
      <w:r w:rsidRPr="004D3B9E">
        <w:rPr>
          <w:lang w:val="fr-FR"/>
        </w:rPr>
        <w:t xml:space="preserve"> a </w:t>
      </w:r>
      <w:proofErr w:type="spellStart"/>
      <w:r w:rsidRPr="004D3B9E">
        <w:rPr>
          <w:lang w:val="fr-FR"/>
        </w:rPr>
        <w:t>different</w:t>
      </w:r>
      <w:proofErr w:type="spellEnd"/>
      <w:r w:rsidRPr="004D3B9E">
        <w:rPr>
          <w:lang w:val="fr-FR"/>
        </w:rPr>
        <w:t xml:space="preserve"> sentence mode, ta</w:t>
      </w:r>
      <w:r>
        <w:rPr>
          <w:lang w:val="fr-FR"/>
        </w:rPr>
        <w:t>g questions,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3617C" w14:textId="77777777" w:rsidR="00AB181E" w:rsidRDefault="00224AA6">
    <w:pPr>
      <w:pStyle w:val="Header"/>
    </w:pPr>
    <w:r>
      <w:t>ICLC-10 2023 - Document Template for Revised Abstract</w:t>
    </w:r>
    <w:r>
      <w:rPr>
        <w:lang w:val="en-US"/>
      </w:rPr>
      <w:t>s</w:t>
    </w:r>
  </w:p>
  <w:p w14:paraId="163FA645"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1788113554">
    <w:abstractNumId w:val="0"/>
  </w:num>
  <w:num w:numId="2" w16cid:durableId="284391964">
    <w:abstractNumId w:val="1"/>
  </w:num>
  <w:num w:numId="3" w16cid:durableId="15220107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8241D"/>
    <w:rsid w:val="000E0FCD"/>
    <w:rsid w:val="000F11EC"/>
    <w:rsid w:val="001E4E6F"/>
    <w:rsid w:val="00224AA6"/>
    <w:rsid w:val="00227F60"/>
    <w:rsid w:val="00286B52"/>
    <w:rsid w:val="002D14C9"/>
    <w:rsid w:val="0033341F"/>
    <w:rsid w:val="00381709"/>
    <w:rsid w:val="0044372D"/>
    <w:rsid w:val="004C5262"/>
    <w:rsid w:val="004D3B9E"/>
    <w:rsid w:val="005318C2"/>
    <w:rsid w:val="005C123D"/>
    <w:rsid w:val="00627903"/>
    <w:rsid w:val="006435F9"/>
    <w:rsid w:val="00667A0C"/>
    <w:rsid w:val="006915DB"/>
    <w:rsid w:val="00694682"/>
    <w:rsid w:val="00717483"/>
    <w:rsid w:val="00751CAF"/>
    <w:rsid w:val="00797886"/>
    <w:rsid w:val="007E64B0"/>
    <w:rsid w:val="00825885"/>
    <w:rsid w:val="008D241B"/>
    <w:rsid w:val="00914F1E"/>
    <w:rsid w:val="009D4AD9"/>
    <w:rsid w:val="009F6CA7"/>
    <w:rsid w:val="00A54BA3"/>
    <w:rsid w:val="00A8107F"/>
    <w:rsid w:val="00AB181E"/>
    <w:rsid w:val="00B22F8E"/>
    <w:rsid w:val="00B86566"/>
    <w:rsid w:val="00BB2A51"/>
    <w:rsid w:val="00C425D1"/>
    <w:rsid w:val="00D2372C"/>
    <w:rsid w:val="00DB1137"/>
    <w:rsid w:val="00E415AD"/>
    <w:rsid w:val="00E85B33"/>
    <w:rsid w:val="00EB0911"/>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ED0E3"/>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CA7"/>
    <w:pPr>
      <w:suppressAutoHyphens w:val="0"/>
      <w:spacing w:before="113" w:line="280" w:lineRule="exact"/>
      <w:jc w:val="both"/>
    </w:pPr>
    <w:rPr>
      <w:rFonts w:ascii="Libertinus Serif" w:hAnsi="Libertinus Serif"/>
    </w:rPr>
  </w:style>
  <w:style w:type="paragraph" w:styleId="Heading1">
    <w:name w:val="heading 1"/>
    <w:basedOn w:val="Normal"/>
    <w:next w:val="Normal"/>
    <w:link w:val="Heading1Char"/>
    <w:qFormat/>
    <w:pPr>
      <w:keepNext/>
      <w:keepLines/>
      <w:spacing w:before="340" w:after="113" w:line="360" w:lineRule="exact"/>
      <w:outlineLvl w:val="0"/>
    </w:pPr>
    <w:rPr>
      <w:rFonts w:ascii="Fira Sans" w:hAnsi="Fira Sans"/>
      <w:b/>
      <w:color w:val="4FAF4A"/>
      <w:sz w:val="28"/>
      <w:szCs w:val="32"/>
    </w:rPr>
  </w:style>
  <w:style w:type="paragraph" w:styleId="Heading2">
    <w:name w:val="heading 2"/>
    <w:basedOn w:val="Normal"/>
    <w:next w:val="Normal"/>
    <w:link w:val="Heading2Char"/>
    <w:qFormat/>
    <w:pPr>
      <w:keepNext/>
      <w:keepLines/>
      <w:spacing w:before="340" w:after="113" w:line="340" w:lineRule="exact"/>
      <w:outlineLvl w:val="1"/>
    </w:pPr>
    <w:rPr>
      <w:rFonts w:ascii="Fira Sans" w:hAnsi="Fira Sans"/>
      <w:b/>
      <w:color w:val="4FAF4A"/>
      <w:sz w:val="26"/>
      <w:szCs w:val="26"/>
    </w:rPr>
  </w:style>
  <w:style w:type="paragraph" w:styleId="Heading3">
    <w:name w:val="heading 3"/>
    <w:basedOn w:val="Normal"/>
    <w:next w:val="Normal"/>
    <w:link w:val="Heading3Char"/>
    <w:qFormat/>
    <w:pPr>
      <w:keepNext/>
      <w:keepLines/>
      <w:spacing w:before="227" w:after="113" w:line="320" w:lineRule="exact"/>
      <w:outlineLvl w:val="2"/>
    </w:pPr>
    <w:rPr>
      <w:rFonts w:ascii="Fira Sans" w:hAnsi="Fira Sans"/>
      <w:color w:val="4FAF4A"/>
      <w:sz w:val="24"/>
      <w:szCs w:val="24"/>
    </w:rPr>
  </w:style>
  <w:style w:type="paragraph" w:styleId="Heading4">
    <w:name w:val="heading 4"/>
    <w:basedOn w:val="Normal"/>
    <w:next w:val="Normal"/>
    <w:link w:val="Heading4Char"/>
    <w:qFormat/>
    <w:pPr>
      <w:keepNext/>
      <w:keepLines/>
      <w:spacing w:before="227"/>
      <w:outlineLvl w:val="3"/>
    </w:pPr>
    <w:rPr>
      <w:rFonts w:ascii="Fira Sans" w:hAnsi="Fira Sans"/>
      <w:iCs/>
      <w:color w:val="4FAF4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rFonts w:ascii="Fira Sans" w:eastAsia="Calibri" w:hAnsi="Fira Sans" w:cs="Tahoma"/>
      <w:b/>
      <w:color w:val="F79646"/>
      <w:sz w:val="28"/>
      <w:szCs w:val="32"/>
    </w:rPr>
  </w:style>
  <w:style w:type="character" w:customStyle="1" w:styleId="Heading2Char">
    <w:name w:val="Heading 2 Char"/>
    <w:basedOn w:val="DefaultParagraphFont"/>
    <w:link w:val="Heading2"/>
    <w:qFormat/>
    <w:rPr>
      <w:rFonts w:ascii="Fira Sans" w:eastAsia="Calibri" w:hAnsi="Fira Sans" w:cs="Tahoma"/>
      <w:b/>
      <w:color w:val="F79646"/>
      <w:sz w:val="26"/>
      <w:szCs w:val="26"/>
    </w:rPr>
  </w:style>
  <w:style w:type="character" w:customStyle="1" w:styleId="Heading3Char">
    <w:name w:val="Heading 3 Char"/>
    <w:basedOn w:val="DefaultParagraphFont"/>
    <w:link w:val="Heading3"/>
    <w:qFormat/>
    <w:rPr>
      <w:rFonts w:ascii="Fira Sans" w:eastAsia="Calibri" w:hAnsi="Fira Sans" w:cs="Tahoma"/>
      <w:color w:val="F79646"/>
      <w:sz w:val="24"/>
      <w:szCs w:val="24"/>
    </w:rPr>
  </w:style>
  <w:style w:type="character" w:customStyle="1" w:styleId="Heading4Char">
    <w:name w:val="Heading 4 Char"/>
    <w:basedOn w:val="DefaultParagraphFont"/>
    <w:link w:val="Heading4"/>
    <w:qFormat/>
    <w:rPr>
      <w:rFonts w:ascii="Fira Sans" w:eastAsia="Calibri" w:hAnsi="Fira Sans" w:cs="Tahoma"/>
      <w:iCs/>
      <w:color w:val="F79646"/>
    </w:rPr>
  </w:style>
  <w:style w:type="character" w:customStyle="1" w:styleId="TitleChar">
    <w:name w:val="Title Char"/>
    <w:basedOn w:val="DefaultParagraphFont"/>
    <w:link w:val="Title"/>
    <w:qFormat/>
    <w:rsid w:val="00227F60"/>
    <w:rPr>
      <w:rFonts w:ascii="Fira Sans" w:hAnsi="Fira Sans"/>
      <w:b/>
      <w:color w:val="4FAF4A"/>
      <w:sz w:val="38"/>
      <w:szCs w:val="56"/>
    </w:rPr>
  </w:style>
  <w:style w:type="character" w:styleId="Strong">
    <w:name w:val="Strong"/>
    <w:basedOn w:val="DefaultParagraphFont"/>
    <w:qFormat/>
    <w:rPr>
      <w:b/>
      <w:bCs/>
    </w:rPr>
  </w:style>
  <w:style w:type="character" w:styleId="Emphasis">
    <w:name w:val="Emphasis"/>
    <w:basedOn w:val="DefaultParagraphFont"/>
    <w:qFormat/>
    <w:rPr>
      <w:i/>
      <w:iCs/>
    </w:rPr>
  </w:style>
  <w:style w:type="character" w:styleId="IntenseEmphasis">
    <w:name w:val="Intense Emphasis"/>
    <w:basedOn w:val="DefaultParagraphFont"/>
    <w:qFormat/>
    <w:rPr>
      <w:rFonts w:ascii="Libertinus Serif" w:hAnsi="Libertinus Serif"/>
      <w:b/>
      <w:bCs/>
      <w:i/>
      <w:iCs/>
      <w:color w:val="auto"/>
    </w:rPr>
  </w:style>
  <w:style w:type="character" w:customStyle="1" w:styleId="QuoteChar">
    <w:name w:val="Quote Char"/>
    <w:basedOn w:val="DefaultParagraphFont"/>
    <w:link w:val="Quote"/>
    <w:qFormat/>
    <w:rPr>
      <w:rFonts w:ascii="Libertinus Serif" w:hAnsi="Libertinus Serif"/>
      <w:iCs/>
      <w:sz w:val="20"/>
    </w:rPr>
  </w:style>
  <w:style w:type="character" w:customStyle="1" w:styleId="SubtitleChar">
    <w:name w:val="Subtitle Char"/>
    <w:basedOn w:val="DefaultParagraphFont"/>
    <w:link w:val="Subtitle"/>
    <w:qFormat/>
    <w:rsid w:val="004C5262"/>
    <w:rPr>
      <w:rFonts w:ascii="Fira Sans" w:hAnsi="Fira Sans"/>
      <w:b/>
      <w:color w:val="5A5A5A"/>
      <w:spacing w:val="16"/>
      <w:sz w:val="28"/>
    </w:rPr>
  </w:style>
  <w:style w:type="character" w:customStyle="1" w:styleId="HeaderChar">
    <w:name w:val="Header Char"/>
    <w:basedOn w:val="DefaultParagraphFont"/>
    <w:link w:val="Header"/>
    <w:qFormat/>
    <w:rPr>
      <w:rFonts w:ascii="Times New Roman" w:hAnsi="Times New Roman"/>
      <w:sz w:val="24"/>
    </w:rPr>
  </w:style>
  <w:style w:type="character" w:customStyle="1" w:styleId="FooterChar">
    <w:name w:val="Footer Char"/>
    <w:basedOn w:val="DefaultParagraphFont"/>
    <w:link w:val="Footer"/>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DefaultParagraphFont"/>
    <w:rPr>
      <w:color w:val="000080"/>
      <w:w w:val="100"/>
      <w:u w:val="thick" w:color="000080"/>
    </w:rPr>
  </w:style>
  <w:style w:type="character" w:styleId="PageNumber">
    <w:name w:val="page number"/>
    <w:basedOn w:val="DefaultParagraphFont"/>
    <w:qFormat/>
  </w:style>
  <w:style w:type="character" w:customStyle="1" w:styleId="FootnoteTextChar">
    <w:name w:val="Footnote Text Char"/>
    <w:basedOn w:val="DefaultParagraphFont"/>
    <w:link w:val="FootnoteText"/>
    <w:uiPriority w:val="99"/>
    <w:qFormat/>
    <w:rPr>
      <w:rFonts w:ascii="Times New Roman" w:hAnsi="Times New Roman"/>
      <w:sz w:val="20"/>
      <w:szCs w:val="20"/>
    </w:rPr>
  </w:style>
  <w:style w:type="character" w:customStyle="1" w:styleId="IntenseQuoteChar">
    <w:name w:val="Intense Quote Char"/>
    <w:basedOn w:val="DefaultParagraphFont"/>
    <w:link w:val="IntenseQuote"/>
    <w:qFormat/>
    <w:rPr>
      <w:rFonts w:ascii="Libertinus Serif" w:hAnsi="Libertinus Serif"/>
      <w:bCs/>
      <w:sz w:val="20"/>
    </w:rPr>
  </w:style>
  <w:style w:type="character" w:customStyle="1" w:styleId="KapitlchenSmallCapital">
    <w:name w:val="Kapitälchen/Small Capital"/>
    <w:basedOn w:val="DefaultParagraphFont"/>
    <w:qFormat/>
    <w:rPr>
      <w:smallCaps/>
    </w:rPr>
  </w:style>
  <w:style w:type="character" w:customStyle="1" w:styleId="Aufzhlungszeichen1">
    <w:name w:val="Aufzählungszeichen1"/>
    <w:qFormat/>
    <w:rPr>
      <w:rFonts w:ascii="OpenSymbol" w:eastAsia="OpenSymbol" w:hAnsi="OpenSymbol" w:cs="OpenSymbol"/>
    </w:rPr>
  </w:style>
  <w:style w:type="character" w:styleId="FootnoteReference">
    <w:name w:val="footnote reference"/>
    <w:uiPriority w:val="99"/>
    <w:rPr>
      <w:vertAlign w:val="superscript"/>
    </w:rPr>
  </w:style>
  <w:style w:type="character" w:styleId="EndnoteReference">
    <w:name w:val="endnote reference"/>
    <w:rPr>
      <w:vertAlign w:val="superscript"/>
    </w:rPr>
  </w:style>
  <w:style w:type="character" w:customStyle="1" w:styleId="BalloonTextChar">
    <w:name w:val="Balloon Text Char"/>
    <w:basedOn w:val="DefaultParagraphFont"/>
    <w:link w:val="BalloonText"/>
    <w:qFormat/>
    <w:rPr>
      <w:rFonts w:ascii="Tahoma" w:hAnsi="Tahoma" w:cs="Tahoma"/>
      <w:sz w:val="16"/>
      <w:szCs w:val="16"/>
    </w:rPr>
  </w:style>
  <w:style w:type="paragraph" w:customStyle="1" w:styleId="berschrift">
    <w:name w:val="Überschrift"/>
    <w:basedOn w:val="Heading1"/>
    <w:next w:val="BodyText"/>
    <w:qFormat/>
    <w:pPr>
      <w:spacing w:before="240" w:after="120"/>
    </w:pPr>
    <w:rPr>
      <w:rFonts w:ascii="Liberation Sans" w:eastAsia="Noto Sans CJK SC" w:hAnsi="Liberation Sans" w:cs="Droid Sans Devanagari"/>
      <w:szCs w:val="28"/>
    </w:rPr>
  </w:style>
  <w:style w:type="paragraph" w:styleId="BodyText">
    <w:name w:val="Body Text"/>
    <w:basedOn w:val="Normal"/>
    <w:pPr>
      <w:spacing w:before="0"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le">
    <w:name w:val="Title"/>
    <w:basedOn w:val="Normal"/>
    <w:next w:val="Normal"/>
    <w:link w:val="Title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Quote">
    <w:name w:val="Quote"/>
    <w:basedOn w:val="Normal"/>
    <w:next w:val="Normal"/>
    <w:link w:val="QuoteChar"/>
    <w:qFormat/>
    <w:pPr>
      <w:spacing w:line="250" w:lineRule="exact"/>
      <w:ind w:left="794" w:right="794"/>
    </w:pPr>
    <w:rPr>
      <w:iCs/>
      <w:sz w:val="20"/>
    </w:rPr>
  </w:style>
  <w:style w:type="paragraph" w:styleId="Subtitle">
    <w:name w:val="Subtitle"/>
    <w:basedOn w:val="Normal"/>
    <w:next w:val="Normal"/>
    <w:link w:val="SubtitleCh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le"/>
    <w:qFormat/>
    <w:pPr>
      <w:spacing w:before="0" w:line="340" w:lineRule="exact"/>
    </w:pPr>
    <w:rPr>
      <w:b w:val="0"/>
      <w:color w:val="auto"/>
      <w:sz w:val="26"/>
    </w:rPr>
  </w:style>
  <w:style w:type="paragraph" w:styleId="ListParagraph">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Header">
    <w:name w:val="header"/>
    <w:basedOn w:val="Normal"/>
    <w:link w:val="HeaderChar"/>
    <w:pPr>
      <w:tabs>
        <w:tab w:val="center" w:pos="4536"/>
        <w:tab w:val="right" w:pos="9072"/>
      </w:tabs>
      <w:spacing w:before="0" w:line="240" w:lineRule="auto"/>
    </w:pPr>
  </w:style>
  <w:style w:type="paragraph" w:styleId="Footer">
    <w:name w:val="footer"/>
    <w:basedOn w:val="Normal"/>
    <w:link w:val="FooterChar"/>
    <w:pPr>
      <w:tabs>
        <w:tab w:val="center" w:pos="4536"/>
        <w:tab w:val="right" w:pos="9072"/>
      </w:tabs>
      <w:spacing w:before="0" w:line="240" w:lineRule="auto"/>
    </w:pPr>
  </w:style>
  <w:style w:type="paragraph" w:customStyle="1" w:styleId="FunoteFootnote">
    <w:name w:val="Fußnote/Footnote"/>
    <w:basedOn w:val="FootnoteText"/>
    <w:qFormat/>
    <w:pPr>
      <w:tabs>
        <w:tab w:val="left" w:pos="283"/>
      </w:tabs>
      <w:spacing w:line="230" w:lineRule="atLeast"/>
      <w:ind w:left="284" w:hanging="284"/>
      <w:textAlignment w:val="center"/>
    </w:pPr>
    <w:rPr>
      <w:rFonts w:cs="Times New Roman"/>
    </w:rPr>
  </w:style>
  <w:style w:type="paragraph" w:styleId="FootnoteText">
    <w:name w:val="footnote text"/>
    <w:basedOn w:val="Normal"/>
    <w:link w:val="FootnoteTextChar"/>
    <w:uiPriority w:val="99"/>
    <w:pPr>
      <w:spacing w:before="0" w:line="232" w:lineRule="exact"/>
      <w:ind w:left="283" w:hanging="283"/>
    </w:pPr>
    <w:rPr>
      <w:sz w:val="19"/>
      <w:szCs w:val="20"/>
    </w:rPr>
  </w:style>
  <w:style w:type="paragraph" w:customStyle="1" w:styleId="Keywords">
    <w:name w:val="Keywords"/>
    <w:basedOn w:val="Normal"/>
    <w:qFormat/>
    <w:rPr>
      <w:sz w:val="20"/>
    </w:rPr>
  </w:style>
  <w:style w:type="paragraph" w:styleId="IntenseQuote">
    <w:name w:val="Intense Quote"/>
    <w:basedOn w:val="Quote"/>
    <w:next w:val="Normal"/>
    <w:link w:val="IntenseQuoteCh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BodyText"/>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Heading">
    <w:name w:val="index heading"/>
    <w:basedOn w:val="Heading1"/>
    <w:autoRedefine/>
  </w:style>
  <w:style w:type="paragraph" w:styleId="TableofAuthorities">
    <w:name w:val="table of authorities"/>
    <w:basedOn w:val="Heading1"/>
    <w:autoRedefine/>
    <w:pPr>
      <w:suppressLineNumbers/>
    </w:pPr>
  </w:style>
  <w:style w:type="paragraph" w:styleId="Closing">
    <w:name w:val="Closing"/>
    <w:basedOn w:val="berschrift"/>
    <w:next w:val="BodyText"/>
    <w:qFormat/>
    <w:pPr>
      <w:jc w:val="center"/>
    </w:pPr>
    <w:rPr>
      <w:bCs/>
      <w:szCs w:val="32"/>
    </w:rPr>
  </w:style>
  <w:style w:type="paragraph" w:styleId="TOCHeading">
    <w:name w:val="TOC Heading"/>
    <w:basedOn w:val="IndexHeading"/>
  </w:style>
  <w:style w:type="paragraph" w:customStyle="1" w:styleId="Abbildungsindexberschriften">
    <w:name w:val="Abbildungsindex Überschriften"/>
    <w:basedOn w:val="IndexHeading"/>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BalloonText">
    <w:name w:val="Balloon Text"/>
    <w:basedOn w:val="Normal"/>
    <w:link w:val="BalloonTextChar"/>
    <w:qFormat/>
    <w:pPr>
      <w:spacing w:before="0" w:line="240" w:lineRule="auto"/>
    </w:pPr>
    <w:rPr>
      <w:rFonts w:ascii="Tahoma" w:hAnsi="Tahoma"/>
      <w:sz w:val="16"/>
      <w:szCs w:val="16"/>
    </w:rPr>
  </w:style>
  <w:style w:type="character" w:styleId="UnresolvedMention">
    <w:name w:val="Unresolved Mention"/>
    <w:basedOn w:val="DefaultParagraphFont"/>
    <w:uiPriority w:val="99"/>
    <w:semiHidden/>
    <w:unhideWhenUsed/>
    <w:rsid w:val="0044372D"/>
    <w:rPr>
      <w:color w:val="605E5C"/>
      <w:shd w:val="clear" w:color="auto" w:fill="E1DFDD"/>
    </w:rPr>
  </w:style>
  <w:style w:type="character" w:styleId="FollowedHyperlink">
    <w:name w:val="FollowedHyperlink"/>
    <w:basedOn w:val="DefaultParagraphFont"/>
    <w:uiPriority w:val="99"/>
    <w:semiHidden/>
    <w:unhideWhenUsed/>
    <w:rsid w:val="001E4E6F"/>
    <w:rPr>
      <w:color w:val="954F72" w:themeColor="followedHyperlink"/>
      <w:u w:val="single"/>
    </w:rPr>
  </w:style>
  <w:style w:type="paragraph" w:styleId="Bibliography">
    <w:name w:val="Bibliography"/>
    <w:basedOn w:val="Normal"/>
    <w:next w:val="Normal"/>
    <w:uiPriority w:val="37"/>
    <w:unhideWhenUsed/>
    <w:rsid w:val="001E4E6F"/>
    <w:pPr>
      <w:spacing w:line="240" w:lineRule="exact"/>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arsikal@ff.cuni.cz" TargetMode="External"/><Relationship Id="rId3" Type="http://schemas.openxmlformats.org/officeDocument/2006/relationships/settings" Target="settings.xml"/><Relationship Id="rId7" Type="http://schemas.openxmlformats.org/officeDocument/2006/relationships/hyperlink" Target="mailto:muster@ids-mannheim.d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opus.nlpl.eu/index.php" TargetMode="External"/><Relationship Id="rId1" Type="http://schemas.openxmlformats.org/officeDocument/2006/relationships/hyperlink" Target="https://www.ted.com/participate/translat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2113</Words>
  <Characters>12807</Characters>
  <Application>Microsoft Office Word</Application>
  <DocSecurity>0</DocSecurity>
  <Lines>320</Lines>
  <Paragraphs>226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14694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Seemann, Hannah</cp:lastModifiedBy>
  <cp:revision>18</cp:revision>
  <cp:lastPrinted>2023-03-11T11:57:00Z</cp:lastPrinted>
  <dcterms:created xsi:type="dcterms:W3CDTF">2023-03-12T06:57:00Z</dcterms:created>
  <dcterms:modified xsi:type="dcterms:W3CDTF">2023-05-12T06:40:00Z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zotero-version="6.0.26"&gt;&lt;session id="mB6DXkGS"/&gt;&lt;style id="http://www.zotero.org/styles/ICLC-10" locale="en-GB" hasBibliography="1" bibliographyStyleHasBeenSet="1"/&gt;&lt;prefs&gt;&lt;pref name="fieldType" value="Field"/&gt;&lt;pref name="automaticJ</vt:lpwstr>
  </property>
  <property fmtid="{D5CDD505-2E9C-101B-9397-08002B2CF9AE}" pid="31" name="ZOTERO_PREF_2">
    <vt:lpwstr>ournalAbbreviations" value="true"/&gt;&lt;/prefs&gt;&lt;/data&gt;</vt:lpwstr>
  </property>
  <property fmtid="{D5CDD505-2E9C-101B-9397-08002B2CF9AE}" pid="32" name="GrammarlyDocumentId">
    <vt:lpwstr>115c51cc8ea4f1cb038cb0a0a9b489ad0b6fa4c32a177b969017a56adba923d4</vt:lpwstr>
  </property>
</Properties>
</file>