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181E" w:rsidRDefault="00A93305">
      <w:pPr>
        <w:pStyle w:val="Author"/>
      </w:pPr>
      <w:r>
        <w:t>Tatiana Perevozchikova</w:t>
      </w:r>
    </w:p>
    <w:p w:rsidR="00A93305" w:rsidRPr="00A93305" w:rsidRDefault="00A93305">
      <w:pPr>
        <w:pStyle w:val="Untertitel"/>
        <w:rPr>
          <w:i/>
          <w:color w:val="4FAF4A"/>
          <w:spacing w:val="0"/>
          <w:sz w:val="38"/>
          <w:szCs w:val="56"/>
        </w:rPr>
      </w:pPr>
      <w:r w:rsidRPr="00A93305">
        <w:rPr>
          <w:i/>
          <w:color w:val="4FAF4A"/>
          <w:spacing w:val="0"/>
          <w:sz w:val="38"/>
          <w:szCs w:val="56"/>
        </w:rPr>
        <w:t xml:space="preserve">Vyjádřete (svůj </w:t>
      </w:r>
      <w:r w:rsidRPr="00A93305">
        <w:rPr>
          <w:color w:val="4FAF4A"/>
          <w:spacing w:val="0"/>
          <w:sz w:val="38"/>
          <w:szCs w:val="56"/>
        </w:rPr>
        <w:t xml:space="preserve">nebo </w:t>
      </w:r>
      <w:r w:rsidRPr="00A93305">
        <w:rPr>
          <w:i/>
          <w:color w:val="4FAF4A"/>
          <w:spacing w:val="0"/>
          <w:sz w:val="38"/>
          <w:szCs w:val="56"/>
        </w:rPr>
        <w:t xml:space="preserve">Vaš?) názor. </w:t>
      </w:r>
    </w:p>
    <w:p w:rsidR="00AB181E" w:rsidRDefault="00A93305">
      <w:pPr>
        <w:pStyle w:val="Untertitel"/>
      </w:pPr>
      <w:r w:rsidRPr="00A93305">
        <w:t xml:space="preserve">Possessives as politeness markers in Bulgarian, Czech, and Russian </w:t>
      </w:r>
    </w:p>
    <w:p w:rsidR="00AB181E" w:rsidRDefault="00224AA6">
      <w:pPr>
        <w:pStyle w:val="Keywords"/>
        <w:jc w:val="left"/>
      </w:pPr>
      <w:r>
        <w:rPr>
          <w:b/>
          <w:szCs w:val="20"/>
        </w:rPr>
        <w:t>Keywords:</w:t>
      </w:r>
      <w:r>
        <w:rPr>
          <w:szCs w:val="20"/>
        </w:rPr>
        <w:t xml:space="preserve"> </w:t>
      </w:r>
      <w:r w:rsidR="00A93305">
        <w:rPr>
          <w:szCs w:val="20"/>
        </w:rPr>
        <w:t xml:space="preserve">possessive pronouns; reflexive; politeness; Bulgarian; Czech; Russian </w:t>
      </w:r>
    </w:p>
    <w:p w:rsidR="004A4340" w:rsidRDefault="00A93305">
      <w:r w:rsidRPr="00A93305">
        <w:t xml:space="preserve">In the typology of possessive adnominal modifiers, Slavic languages belong to the reflexive type, i.e. they have a special reflexive possessive item to distinguish a coreferential pronominal possessor from a non-coreferential pronominal possessor (Manzelli 1990). However, the actual use of reflexive possessives varies across Slavic languages as well as across conditions within a language. Slovene and Russian have been reported to make the most use of the reflexive possessive, whereas Polish and Bulgarian (in long pronouns) the least (Pekelis 2021). It has also been observed that in Slovene, the reflexive possessive is less obligatory in </w:t>
      </w:r>
      <w:r w:rsidR="00EB0549" w:rsidRPr="00A93305">
        <w:t>2</w:t>
      </w:r>
      <w:r w:rsidR="00EB0549" w:rsidRPr="00EB0549">
        <w:rPr>
          <w:vertAlign w:val="superscript"/>
        </w:rPr>
        <w:t>nd</w:t>
      </w:r>
      <w:r w:rsidRPr="00A93305">
        <w:t xml:space="preserve"> person plural/polite contexts</w:t>
      </w:r>
      <w:r w:rsidR="00475AD6">
        <w:rPr>
          <w:rStyle w:val="Funotenzeichen"/>
        </w:rPr>
        <w:footnoteReference w:id="1"/>
      </w:r>
      <w:r w:rsidRPr="00A93305">
        <w:t xml:space="preserve"> than in the </w:t>
      </w:r>
      <w:r w:rsidR="00EB0549" w:rsidRPr="00A93305">
        <w:t>2</w:t>
      </w:r>
      <w:r w:rsidR="00EB0549" w:rsidRPr="00EB0549">
        <w:rPr>
          <w:vertAlign w:val="superscript"/>
        </w:rPr>
        <w:t>nd</w:t>
      </w:r>
      <w:r w:rsidRPr="00A93305">
        <w:t xml:space="preserve"> person singular, where it often competes with the non</w:t>
      </w:r>
      <w:r w:rsidR="00DE7218">
        <w:t>-</w:t>
      </w:r>
      <w:r w:rsidRPr="00A93305">
        <w:t>reflexive possessive</w:t>
      </w:r>
      <w:r w:rsidR="00734D9C">
        <w:t xml:space="preserve"> </w:t>
      </w:r>
      <w:r w:rsidRPr="00A93305">
        <w:t>(Uhlik</w:t>
      </w:r>
      <w:r w:rsidR="00605869">
        <w:t>/</w:t>
      </w:r>
      <w:r w:rsidRPr="00A93305">
        <w:t xml:space="preserve">Žele 2020). </w:t>
      </w:r>
    </w:p>
    <w:p w:rsidR="00A93305" w:rsidRDefault="00A93305">
      <w:r w:rsidRPr="00A93305">
        <w:t xml:space="preserve">In this presentation, we address the question whether possessive pronouns in Bulgarian, Czech, and Russian are used in </w:t>
      </w:r>
      <w:r w:rsidR="00EB0549" w:rsidRPr="00A93305">
        <w:t>2</w:t>
      </w:r>
      <w:r w:rsidR="00EB0549" w:rsidRPr="00EB0549">
        <w:rPr>
          <w:vertAlign w:val="superscript"/>
        </w:rPr>
        <w:t>nd</w:t>
      </w:r>
      <w:r w:rsidRPr="00A93305">
        <w:t xml:space="preserve"> person contexts similarly to Slovene. Speci</w:t>
      </w:r>
      <w:r>
        <w:t xml:space="preserve">fically, we test two hypotheses. First, </w:t>
      </w:r>
      <w:r w:rsidRPr="00A93305">
        <w:t xml:space="preserve">the non-reflexive possessive is more frequent in </w:t>
      </w:r>
      <w:r w:rsidR="00EB0549" w:rsidRPr="00A93305">
        <w:t>2</w:t>
      </w:r>
      <w:r w:rsidR="00EB0549" w:rsidRPr="00EB0549">
        <w:rPr>
          <w:vertAlign w:val="superscript"/>
        </w:rPr>
        <w:t>nd</w:t>
      </w:r>
      <w:r w:rsidRPr="00A93305">
        <w:t xml:space="preserve"> person polite/plural </w:t>
      </w:r>
      <w:r w:rsidRPr="00A93305">
        <w:rPr>
          <w:i/>
        </w:rPr>
        <w:t>Vy</w:t>
      </w:r>
      <w:r w:rsidRPr="00A93305">
        <w:t>-contexts</w:t>
      </w:r>
      <w:r>
        <w:t>,</w:t>
      </w:r>
      <w:r w:rsidRPr="00A93305">
        <w:t xml:space="preserve"> </w:t>
      </w:r>
      <w:r>
        <w:t xml:space="preserve">as in example (1) from Russian, than in </w:t>
      </w:r>
      <w:r w:rsidRPr="00A93305">
        <w:t xml:space="preserve">the </w:t>
      </w:r>
      <w:r w:rsidR="00EB0549" w:rsidRPr="00A93305">
        <w:t>2</w:t>
      </w:r>
      <w:r w:rsidR="00EB0549" w:rsidRPr="00EB0549">
        <w:rPr>
          <w:vertAlign w:val="superscript"/>
        </w:rPr>
        <w:t>nd</w:t>
      </w:r>
      <w:r w:rsidRPr="00A93305">
        <w:t xml:space="preserve"> person singular</w:t>
      </w:r>
      <w:r>
        <w:t>, as exemplified by</w:t>
      </w:r>
      <w:r w:rsidRPr="00A93305">
        <w:t xml:space="preserve"> </w:t>
      </w:r>
      <w:r>
        <w:t xml:space="preserve">(2): </w:t>
      </w:r>
    </w:p>
    <w:p w:rsidR="00A93305" w:rsidRPr="00A93305" w:rsidRDefault="00A93305" w:rsidP="00A93305">
      <w:pPr>
        <w:pStyle w:val="Example"/>
        <w:rPr>
          <w:i/>
        </w:rPr>
      </w:pPr>
      <w:r w:rsidRPr="00A93305">
        <w:rPr>
          <w:i/>
        </w:rPr>
        <w:t xml:space="preserve">Kogda </w:t>
      </w:r>
      <w:r w:rsidRPr="00A93305">
        <w:rPr>
          <w:b/>
          <w:i/>
        </w:rPr>
        <w:t xml:space="preserve">Vy </w:t>
      </w:r>
      <w:r w:rsidRPr="00A93305">
        <w:rPr>
          <w:i/>
        </w:rPr>
        <w:t xml:space="preserve">prišlёte mne </w:t>
      </w:r>
      <w:r w:rsidRPr="00A93305">
        <w:rPr>
          <w:b/>
          <w:i/>
        </w:rPr>
        <w:t xml:space="preserve">Vašu </w:t>
      </w:r>
      <w:r w:rsidRPr="00A93305">
        <w:rPr>
          <w:i/>
        </w:rPr>
        <w:t>stat’ju?</w:t>
      </w:r>
    </w:p>
    <w:p w:rsidR="00A93305" w:rsidRPr="00A93305" w:rsidRDefault="00A93305" w:rsidP="00A93305">
      <w:pPr>
        <w:pStyle w:val="Example"/>
        <w:numPr>
          <w:ilvl w:val="0"/>
          <w:numId w:val="0"/>
        </w:numPr>
        <w:ind w:left="1647" w:hanging="1221"/>
      </w:pPr>
      <w:r>
        <w:rPr>
          <w:rFonts w:cs="Libertinus Serif"/>
        </w:rPr>
        <w:t>‘</w:t>
      </w:r>
      <w:r w:rsidRPr="00A93305">
        <w:rPr>
          <w:rFonts w:cs="Libertinus Serif"/>
        </w:rPr>
        <w:t>When you.2PL send me your.NREFL</w:t>
      </w:r>
      <w:r>
        <w:rPr>
          <w:rFonts w:cs="Libertinus Serif"/>
        </w:rPr>
        <w:t>.PL</w:t>
      </w:r>
      <w:r w:rsidRPr="00A93305">
        <w:rPr>
          <w:rFonts w:cs="Libertinus Serif"/>
        </w:rPr>
        <w:t xml:space="preserve"> article</w:t>
      </w:r>
      <w:r>
        <w:rPr>
          <w:rFonts w:cs="Libertinus Serif"/>
        </w:rPr>
        <w:t>?’</w:t>
      </w:r>
    </w:p>
    <w:p w:rsidR="00A93305" w:rsidRDefault="00A93305" w:rsidP="00A93305">
      <w:pPr>
        <w:pStyle w:val="Example"/>
        <w:rPr>
          <w:i/>
          <w:lang w:val="pl-PL"/>
        </w:rPr>
      </w:pPr>
      <w:r w:rsidRPr="00A93305">
        <w:rPr>
          <w:i/>
          <w:lang w:val="pl-PL"/>
        </w:rPr>
        <w:t xml:space="preserve">Kogda </w:t>
      </w:r>
      <w:r w:rsidRPr="00A93305">
        <w:rPr>
          <w:b/>
          <w:i/>
          <w:lang w:val="pl-PL"/>
        </w:rPr>
        <w:t>ty</w:t>
      </w:r>
      <w:r w:rsidRPr="00A93305">
        <w:rPr>
          <w:i/>
          <w:lang w:val="pl-PL"/>
        </w:rPr>
        <w:t xml:space="preserve"> prišl</w:t>
      </w:r>
      <w:r w:rsidRPr="00A93305">
        <w:rPr>
          <w:i/>
        </w:rPr>
        <w:t>ё</w:t>
      </w:r>
      <w:r w:rsidRPr="00A93305">
        <w:rPr>
          <w:i/>
          <w:lang w:val="pl-PL"/>
        </w:rPr>
        <w:t xml:space="preserve">š mne </w:t>
      </w:r>
      <w:r w:rsidRPr="00A93305">
        <w:rPr>
          <w:b/>
          <w:i/>
          <w:lang w:val="pl-PL"/>
        </w:rPr>
        <w:t>tvoju</w:t>
      </w:r>
      <w:r w:rsidRPr="00A93305">
        <w:rPr>
          <w:b/>
          <w:i/>
          <w:vertAlign w:val="superscript"/>
          <w:lang w:val="pl-PL"/>
        </w:rPr>
        <w:t>?</w:t>
      </w:r>
      <w:r w:rsidRPr="00A93305">
        <w:rPr>
          <w:i/>
          <w:lang w:val="pl-PL"/>
        </w:rPr>
        <w:t xml:space="preserve"> stat’ju?</w:t>
      </w:r>
    </w:p>
    <w:p w:rsidR="00A93305" w:rsidRPr="00A93305" w:rsidRDefault="00A93305" w:rsidP="00A93305">
      <w:pPr>
        <w:pStyle w:val="Example"/>
        <w:numPr>
          <w:ilvl w:val="0"/>
          <w:numId w:val="0"/>
        </w:numPr>
        <w:ind w:firstLine="426"/>
      </w:pPr>
      <w:r w:rsidRPr="00A93305">
        <w:t>‘When you.2</w:t>
      </w:r>
      <w:r>
        <w:t>SG</w:t>
      </w:r>
      <w:r w:rsidRPr="00A93305">
        <w:t xml:space="preserve"> send me your.NREFL</w:t>
      </w:r>
      <w:r>
        <w:t>.SG</w:t>
      </w:r>
      <w:r w:rsidRPr="00A93305">
        <w:t xml:space="preserve"> article?’</w:t>
      </w:r>
    </w:p>
    <w:p w:rsidR="00A93305" w:rsidRDefault="00A93305">
      <w:r>
        <w:t xml:space="preserve">Second, </w:t>
      </w:r>
      <w:r w:rsidRPr="00A93305">
        <w:t xml:space="preserve">the non-reflexive possessive is more frequent in imperatives </w:t>
      </w:r>
      <w:r>
        <w:t>as in (3) than in indicatives</w:t>
      </w:r>
      <w:r w:rsidR="006D34E1">
        <w:t xml:space="preserve"> as in</w:t>
      </w:r>
      <w:r>
        <w:t xml:space="preserve"> (2) above.  </w:t>
      </w:r>
    </w:p>
    <w:p w:rsidR="00A93305" w:rsidRDefault="00A93305" w:rsidP="00A93305">
      <w:pPr>
        <w:pStyle w:val="Example"/>
        <w:rPr>
          <w:i/>
        </w:rPr>
      </w:pPr>
      <w:r>
        <w:rPr>
          <w:i/>
        </w:rPr>
        <w:t>Prišli</w:t>
      </w:r>
      <w:r w:rsidRPr="00A93305">
        <w:rPr>
          <w:i/>
        </w:rPr>
        <w:t xml:space="preserve">te mne </w:t>
      </w:r>
      <w:r w:rsidRPr="00A93305">
        <w:rPr>
          <w:b/>
          <w:i/>
        </w:rPr>
        <w:t xml:space="preserve">Vašu </w:t>
      </w:r>
      <w:r w:rsidRPr="00A93305">
        <w:rPr>
          <w:i/>
        </w:rPr>
        <w:t>stat’ju</w:t>
      </w:r>
      <w:r>
        <w:rPr>
          <w:i/>
        </w:rPr>
        <w:t>.</w:t>
      </w:r>
    </w:p>
    <w:p w:rsidR="00A93305" w:rsidRPr="00A93305" w:rsidRDefault="00A93305" w:rsidP="00A93305">
      <w:pPr>
        <w:pStyle w:val="Example"/>
        <w:numPr>
          <w:ilvl w:val="0"/>
          <w:numId w:val="0"/>
        </w:numPr>
        <w:ind w:left="1647" w:hanging="1221"/>
      </w:pPr>
      <w:r>
        <w:rPr>
          <w:rFonts w:cs="Libertinus Serif"/>
        </w:rPr>
        <w:t xml:space="preserve">‘Send.IMP.PL </w:t>
      </w:r>
      <w:r w:rsidRPr="00A93305">
        <w:rPr>
          <w:rFonts w:cs="Libertinus Serif"/>
        </w:rPr>
        <w:t>me your.NREFL</w:t>
      </w:r>
      <w:r>
        <w:rPr>
          <w:rFonts w:cs="Libertinus Serif"/>
        </w:rPr>
        <w:t>.PL</w:t>
      </w:r>
      <w:r w:rsidRPr="00A93305">
        <w:rPr>
          <w:rFonts w:cs="Libertinus Serif"/>
        </w:rPr>
        <w:t xml:space="preserve"> article</w:t>
      </w:r>
      <w:r w:rsidR="00DE7218">
        <w:rPr>
          <w:rFonts w:cs="Libertinus Serif"/>
        </w:rPr>
        <w:t>.</w:t>
      </w:r>
      <w:r>
        <w:rPr>
          <w:rFonts w:cs="Libertinus Serif"/>
        </w:rPr>
        <w:t>’</w:t>
      </w:r>
    </w:p>
    <w:p w:rsidR="00136762" w:rsidRPr="00912260" w:rsidRDefault="00136762" w:rsidP="00A93305">
      <w:pPr>
        <w:rPr>
          <w:lang w:val="en-US"/>
        </w:rPr>
      </w:pPr>
      <w:r>
        <w:t xml:space="preserve">To test these hypotheses we extracted </w:t>
      </w:r>
      <w:r w:rsidR="00EB0549" w:rsidRPr="00A93305">
        <w:t>2</w:t>
      </w:r>
      <w:r w:rsidR="00EB0549" w:rsidRPr="00EB0549">
        <w:rPr>
          <w:vertAlign w:val="superscript"/>
        </w:rPr>
        <w:t>nd</w:t>
      </w:r>
      <w:r w:rsidRPr="00A93305">
        <w:t xml:space="preserve"> person possessives</w:t>
      </w:r>
      <w:r>
        <w:t xml:space="preserve"> i</w:t>
      </w:r>
      <w:r w:rsidR="00DE7218">
        <w:t xml:space="preserve">n </w:t>
      </w:r>
      <w:r>
        <w:t xml:space="preserve">comparable web corpora of Bulgarian, Czech and Russian </w:t>
      </w:r>
      <w:r w:rsidR="00A93305" w:rsidRPr="00A93305">
        <w:t>(bgTenTen12 v2, csTenTen12 v9, and ruTenTen11)</w:t>
      </w:r>
      <w:r>
        <w:t xml:space="preserve"> </w:t>
      </w:r>
      <w:r w:rsidR="00897C95">
        <w:t>as well as in</w:t>
      </w:r>
      <w:r>
        <w:t xml:space="preserve"> the subcorp</w:t>
      </w:r>
      <w:r w:rsidR="00897C95">
        <w:t xml:space="preserve">ora </w:t>
      </w:r>
      <w:r w:rsidR="00DC6A0C">
        <w:t>of</w:t>
      </w:r>
      <w:r w:rsidR="00897C95">
        <w:t xml:space="preserve"> untranslated texts from</w:t>
      </w:r>
      <w:r>
        <w:t xml:space="preserve"> the national corpora of these </w:t>
      </w:r>
      <w:r w:rsidR="00897C95">
        <w:t>languages (BulNC, SYN201</w:t>
      </w:r>
      <w:r w:rsidR="00170616">
        <w:t>5</w:t>
      </w:r>
      <w:r w:rsidR="00897C95">
        <w:t>, RNC)</w:t>
      </w:r>
      <w:r w:rsidR="004A4340">
        <w:t xml:space="preserve">. </w:t>
      </w:r>
      <w:r w:rsidR="00912260" w:rsidRPr="00912260">
        <w:rPr>
          <w:lang w:val="en-US"/>
        </w:rPr>
        <w:t>F</w:t>
      </w:r>
      <w:r w:rsidR="00912260">
        <w:rPr>
          <w:lang w:val="en-US"/>
        </w:rPr>
        <w:t>or Czech and Russian</w:t>
      </w:r>
      <w:r w:rsidR="00912260">
        <w:t>, we chose 4</w:t>
      </w:r>
      <w:r w:rsidR="004A4340">
        <w:t>000 random occurrences of 2</w:t>
      </w:r>
      <w:r w:rsidR="004A4340" w:rsidRPr="004A4340">
        <w:rPr>
          <w:vertAlign w:val="superscript"/>
        </w:rPr>
        <w:t>nd</w:t>
      </w:r>
      <w:r w:rsidR="004A4340">
        <w:t xml:space="preserve"> person </w:t>
      </w:r>
      <w:r w:rsidR="004A4340" w:rsidRPr="00A93305">
        <w:t>possessives</w:t>
      </w:r>
      <w:r w:rsidR="00912260">
        <w:t xml:space="preserve"> in the TenTen corpora and 4000 in the national corpora</w:t>
      </w:r>
      <w:r w:rsidR="00EF289E" w:rsidRPr="00EF289E">
        <w:rPr>
          <w:lang w:val="en-US"/>
        </w:rPr>
        <w:t xml:space="preserve"> per language</w:t>
      </w:r>
      <w:r w:rsidR="00912260">
        <w:t xml:space="preserve">. The chosen 4000 sentences </w:t>
      </w:r>
      <w:r w:rsidR="004A4340">
        <w:t>exemplif</w:t>
      </w:r>
      <w:r w:rsidR="00912260">
        <w:t>ied</w:t>
      </w:r>
      <w:r w:rsidR="004A4340">
        <w:t xml:space="preserve"> four different conditions </w:t>
      </w:r>
      <w:r w:rsidR="00912260">
        <w:t xml:space="preserve">with </w:t>
      </w:r>
      <w:r w:rsidR="004A4340">
        <w:t>1000 examples per condition</w:t>
      </w:r>
      <w:r w:rsidR="00912260">
        <w:t xml:space="preserve"> (</w:t>
      </w:r>
      <w:r w:rsidR="004A4340">
        <w:t xml:space="preserve">singular + indicative, singular + imperative, </w:t>
      </w:r>
      <w:r w:rsidR="00DC6A0C">
        <w:t>plural/polite</w:t>
      </w:r>
      <w:r w:rsidR="004A4340">
        <w:t xml:space="preserve"> + indicative, and </w:t>
      </w:r>
      <w:r w:rsidR="00DC6A0C">
        <w:t>plural/polite</w:t>
      </w:r>
      <w:r w:rsidR="004A4340">
        <w:t xml:space="preserve"> + imperative</w:t>
      </w:r>
      <w:r w:rsidR="00912260">
        <w:t>)</w:t>
      </w:r>
      <w:r w:rsidR="004A4340">
        <w:t xml:space="preserve">. </w:t>
      </w:r>
      <w:r w:rsidR="00912260">
        <w:t xml:space="preserve">For Bulgarian, </w:t>
      </w:r>
      <w:r w:rsidR="00912260">
        <w:lastRenderedPageBreak/>
        <w:t xml:space="preserve">long and short forms of possessives </w:t>
      </w:r>
      <w:r w:rsidR="00023937">
        <w:t xml:space="preserve">from both corpora </w:t>
      </w:r>
      <w:r w:rsidR="00912260">
        <w:t>were analysed separately,</w:t>
      </w:r>
      <w:r w:rsidR="00F37D8F">
        <w:t xml:space="preserve"> leading to</w:t>
      </w:r>
      <w:r w:rsidR="00912260">
        <w:t xml:space="preserve"> four samples for B</w:t>
      </w:r>
      <w:r w:rsidR="00023937">
        <w:t>ulgarian with 4000 sentences each.</w:t>
      </w:r>
    </w:p>
    <w:p w:rsidR="00DC6A0C" w:rsidRDefault="00A93305" w:rsidP="00A93305">
      <w:r w:rsidRPr="00A93305">
        <w:t>The results confirm the two hypotheses for Russian and for Czech showing that the reflexive is the default possessive in the 2</w:t>
      </w:r>
      <w:r w:rsidR="00EB0549" w:rsidRPr="00EB0549">
        <w:rPr>
          <w:vertAlign w:val="superscript"/>
        </w:rPr>
        <w:t>nd</w:t>
      </w:r>
      <w:r w:rsidRPr="00A93305">
        <w:t xml:space="preserve"> person </w:t>
      </w:r>
      <w:r w:rsidR="00EB0549">
        <w:t xml:space="preserve">singular, </w:t>
      </w:r>
      <w:r w:rsidR="00170616">
        <w:t xml:space="preserve">and </w:t>
      </w:r>
      <w:r w:rsidR="00EB0549">
        <w:t xml:space="preserve">the non-reflexive is used only in up to 5% of </w:t>
      </w:r>
      <w:r w:rsidR="00170616">
        <w:t xml:space="preserve">singular </w:t>
      </w:r>
      <w:r w:rsidR="00EB0549">
        <w:t>examples. In 2</w:t>
      </w:r>
      <w:r w:rsidR="00EB0549" w:rsidRPr="00EB0549">
        <w:rPr>
          <w:vertAlign w:val="superscript"/>
        </w:rPr>
        <w:t>nd</w:t>
      </w:r>
      <w:r w:rsidR="00EB0549">
        <w:t xml:space="preserve"> person plural</w:t>
      </w:r>
      <w:r w:rsidR="00DC6A0C">
        <w:t>/polite</w:t>
      </w:r>
      <w:r w:rsidR="00EB0549">
        <w:t xml:space="preserve"> context</w:t>
      </w:r>
      <w:r w:rsidR="00AB3DEF">
        <w:t>s</w:t>
      </w:r>
      <w:r w:rsidR="00EB0549">
        <w:t xml:space="preserve">, the reflexive is still the preferred possessive but the non-reflexive is used in up to 10% of the indicative and up to 20% of the imperative </w:t>
      </w:r>
      <w:r w:rsidR="00EB0549" w:rsidRPr="00EB0549">
        <w:rPr>
          <w:i/>
        </w:rPr>
        <w:t>Vy</w:t>
      </w:r>
      <w:r w:rsidR="00EB0549">
        <w:t xml:space="preserve">-contexts. </w:t>
      </w:r>
      <w:r w:rsidRPr="00A93305">
        <w:t>In Bulgarian long possessives, the non-reflexive is overall much more frequent than in Russian and Czech, and whereas the reflexive still dominates in the singular</w:t>
      </w:r>
      <w:r w:rsidR="00EB0549">
        <w:t xml:space="preserve"> (up to 75% of examples)</w:t>
      </w:r>
      <w:r w:rsidRPr="00A93305">
        <w:t xml:space="preserve">, </w:t>
      </w:r>
      <w:r w:rsidR="00D02E70">
        <w:t xml:space="preserve">the </w:t>
      </w:r>
      <w:r w:rsidR="00EF289E">
        <w:t>non-reflexive</w:t>
      </w:r>
      <w:r w:rsidRPr="00A93305">
        <w:t xml:space="preserve"> </w:t>
      </w:r>
      <w:r w:rsidR="00EF289E">
        <w:t xml:space="preserve">is used in 46% of </w:t>
      </w:r>
      <w:r w:rsidR="00EB0549">
        <w:t xml:space="preserve">plural </w:t>
      </w:r>
      <w:r w:rsidRPr="00A93305">
        <w:t xml:space="preserve">plural/polite </w:t>
      </w:r>
      <w:r w:rsidR="00EF289E">
        <w:t xml:space="preserve">indicative and </w:t>
      </w:r>
      <w:r w:rsidR="00DC6A0C">
        <w:t>in 54% of imperative</w:t>
      </w:r>
      <w:r w:rsidR="00EF289E">
        <w:t xml:space="preserve"> contexts</w:t>
      </w:r>
      <w:r w:rsidRPr="00A93305">
        <w:t xml:space="preserve">. In Bulgarian short possessives, only the reflexive possessive occurs in </w:t>
      </w:r>
      <w:r w:rsidR="00DC6A0C">
        <w:t xml:space="preserve">both singular and plural/polite </w:t>
      </w:r>
      <w:r w:rsidRPr="00A93305">
        <w:t xml:space="preserve">contexts. </w:t>
      </w:r>
    </w:p>
    <w:p w:rsidR="003857C9" w:rsidRDefault="00212E44" w:rsidP="00A93305">
      <w:r>
        <w:t>To summarize, the non-reflexive in Czech, Russian</w:t>
      </w:r>
      <w:r w:rsidR="002E063A">
        <w:t>,</w:t>
      </w:r>
      <w:r>
        <w:t xml:space="preserve"> and Bulgarian </w:t>
      </w:r>
      <w:r w:rsidR="002E063A">
        <w:t>long</w:t>
      </w:r>
      <w:r>
        <w:t xml:space="preserve"> possessives is most frequent with polite </w:t>
      </w:r>
      <w:r w:rsidRPr="00212E44">
        <w:rPr>
          <w:i/>
        </w:rPr>
        <w:t>Vy</w:t>
      </w:r>
      <w:r>
        <w:t>-form</w:t>
      </w:r>
      <w:r w:rsidR="003B77BD">
        <w:t>s</w:t>
      </w:r>
      <w:r>
        <w:t xml:space="preserve"> in imperative contexts.</w:t>
      </w:r>
      <w:r w:rsidR="00B013A5">
        <w:t xml:space="preserve"> In terms of </w:t>
      </w:r>
      <w:r w:rsidR="00EF289E">
        <w:t>the</w:t>
      </w:r>
      <w:r w:rsidR="00B013A5">
        <w:t xml:space="preserve">ory of politeness </w:t>
      </w:r>
      <w:r w:rsidR="00D43FE4">
        <w:t>by Brown and Levinson</w:t>
      </w:r>
      <w:bookmarkStart w:id="0" w:name="_GoBack"/>
      <w:bookmarkEnd w:id="0"/>
      <w:r w:rsidR="00D43FE4">
        <w:t xml:space="preserve"> </w:t>
      </w:r>
      <w:r w:rsidR="00B013A5">
        <w:t xml:space="preserve">(1987), imperative contexts represent acts that threaten the addressee’s negative face because they urge him to act in a way he might not want to. </w:t>
      </w:r>
      <w:r w:rsidR="00EF289E">
        <w:t>Special polite forms of personal pronouns are one of the linguistic means t</w:t>
      </w:r>
      <w:r w:rsidR="00B013A5">
        <w:t xml:space="preserve">o </w:t>
      </w:r>
      <w:r w:rsidR="00EF289E">
        <w:t xml:space="preserve">avoid the direct reference to the addressee and thus to </w:t>
      </w:r>
      <w:r w:rsidR="00B013A5">
        <w:t xml:space="preserve">reduce the degree of </w:t>
      </w:r>
      <w:r w:rsidR="00EF289E">
        <w:t xml:space="preserve">face threats </w:t>
      </w:r>
      <w:r w:rsidR="003857C9">
        <w:t xml:space="preserve">(Helmbrecht </w:t>
      </w:r>
      <w:r w:rsidR="00475AD6">
        <w:t>2003</w:t>
      </w:r>
      <w:r w:rsidR="003857C9">
        <w:t>)</w:t>
      </w:r>
      <w:r w:rsidR="00EF289E">
        <w:t xml:space="preserve">. In our case, this function of the personal pronoun </w:t>
      </w:r>
      <w:r w:rsidR="00EF289E" w:rsidRPr="00734D9C">
        <w:rPr>
          <w:i/>
        </w:rPr>
        <w:t>Vy</w:t>
      </w:r>
      <w:r w:rsidR="00EF289E">
        <w:t xml:space="preserve"> is complemented by the use of </w:t>
      </w:r>
      <w:r w:rsidR="003857C9">
        <w:t>the non-reflexive possessive</w:t>
      </w:r>
      <w:r w:rsidR="00734D9C">
        <w:t xml:space="preserve"> </w:t>
      </w:r>
      <w:r w:rsidR="00734D9C" w:rsidRPr="003B77BD">
        <w:rPr>
          <w:i/>
        </w:rPr>
        <w:t>Va</w:t>
      </w:r>
      <w:r w:rsidR="00734D9C" w:rsidRPr="003B77BD">
        <w:rPr>
          <w:rFonts w:ascii="Arial" w:hAnsi="Arial" w:cs="Arial"/>
          <w:i/>
        </w:rPr>
        <w:t>š</w:t>
      </w:r>
      <w:r w:rsidR="003857C9">
        <w:t>.</w:t>
      </w:r>
      <w:r w:rsidR="00EF289E">
        <w:t xml:space="preserve"> </w:t>
      </w:r>
      <w:r w:rsidR="003B77BD">
        <w:t>T</w:t>
      </w:r>
      <w:r w:rsidR="003857C9">
        <w:t>he non-reflexive c</w:t>
      </w:r>
      <w:r w:rsidR="00EF289E">
        <w:t>an</w:t>
      </w:r>
      <w:r w:rsidR="003857C9">
        <w:t xml:space="preserve"> be considered a less direct reference to the hearer than </w:t>
      </w:r>
      <w:r w:rsidR="003B77BD">
        <w:t>the</w:t>
      </w:r>
      <w:r w:rsidR="003857C9">
        <w:t xml:space="preserve"> reflexive </w:t>
      </w:r>
      <w:r w:rsidR="003B77BD">
        <w:t>possessive because, due to implied plurality, the non-reflexive distributes</w:t>
      </w:r>
      <w:r w:rsidR="003857C9">
        <w:t xml:space="preserve"> responsibility imposed on the hearer </w:t>
      </w:r>
      <w:r w:rsidR="003B77BD">
        <w:t xml:space="preserve">by the </w:t>
      </w:r>
      <w:r w:rsidR="00EF289E">
        <w:t>imperative</w:t>
      </w:r>
      <w:r w:rsidR="003B77BD">
        <w:t xml:space="preserve"> </w:t>
      </w:r>
      <w:r w:rsidR="003857C9">
        <w:t>over the plurality of addressees.</w:t>
      </w:r>
    </w:p>
    <w:p w:rsidR="00AB181E" w:rsidRDefault="00224AA6">
      <w:pPr>
        <w:pStyle w:val="Rechtsgrundlagenverzeichnis"/>
      </w:pPr>
      <w:r>
        <w:t>References</w:t>
      </w:r>
    </w:p>
    <w:p w:rsidR="00EF289E" w:rsidRDefault="00EF289E" w:rsidP="001D0BDB">
      <w:pPr>
        <w:pStyle w:val="Literaturverzeichnis1"/>
        <w:ind w:left="397" w:hanging="397"/>
      </w:pPr>
      <w:r w:rsidRPr="00EF289E">
        <w:t>Brown, Penelope</w:t>
      </w:r>
      <w:r w:rsidR="00A56B0E">
        <w:t xml:space="preserve"> </w:t>
      </w:r>
      <w:r w:rsidRPr="00EF289E">
        <w:t xml:space="preserve"> </w:t>
      </w:r>
      <w:r w:rsidR="00A56B0E">
        <w:t xml:space="preserve">/ </w:t>
      </w:r>
      <w:r w:rsidRPr="00EF289E">
        <w:t>Levinson</w:t>
      </w:r>
      <w:r>
        <w:t xml:space="preserve">, </w:t>
      </w:r>
      <w:r w:rsidRPr="00EF289E">
        <w:t>Stephen C.</w:t>
      </w:r>
      <w:r w:rsidR="008925E3">
        <w:t xml:space="preserve"> (1987): </w:t>
      </w:r>
      <w:r w:rsidR="008925E3" w:rsidRPr="008925E3">
        <w:rPr>
          <w:i/>
        </w:rPr>
        <w:t>Politeness: Some Universals in Language Usage</w:t>
      </w:r>
      <w:r w:rsidR="008925E3">
        <w:t>.</w:t>
      </w:r>
      <w:r w:rsidR="008925E3" w:rsidRPr="008925E3">
        <w:t xml:space="preserve"> </w:t>
      </w:r>
      <w:r w:rsidR="008925E3">
        <w:t>Cambridge University Press.</w:t>
      </w:r>
    </w:p>
    <w:p w:rsidR="00475AD6" w:rsidRDefault="00475AD6" w:rsidP="001D0BDB">
      <w:pPr>
        <w:pStyle w:val="Literaturverzeichnis1"/>
        <w:ind w:left="397" w:hanging="397"/>
      </w:pPr>
      <w:r>
        <w:t xml:space="preserve">Helmbrecht, Johannes (2003): Politeness distinctions in second person pronouns. In: Lenz, Friedrich (ed.): </w:t>
      </w:r>
      <w:r w:rsidRPr="009949D9">
        <w:rPr>
          <w:i/>
        </w:rPr>
        <w:t>Deictic conceptualisation of space, time, and person</w:t>
      </w:r>
      <w:r>
        <w:t xml:space="preserve">, pp.185-202. John Benjamins. </w:t>
      </w:r>
    </w:p>
    <w:p w:rsidR="001D0BDB" w:rsidRDefault="001D0BDB" w:rsidP="001D0BDB">
      <w:pPr>
        <w:pStyle w:val="Literaturverzeichnis1"/>
        <w:ind w:left="397" w:hanging="397"/>
      </w:pPr>
      <w:r>
        <w:t xml:space="preserve">Manzelli, </w:t>
      </w:r>
      <w:r w:rsidRPr="001D0BDB">
        <w:t>Gianguido</w:t>
      </w:r>
      <w:r>
        <w:t xml:space="preserve"> (1990): Possessive adnominal modifiers. In: Bechert, Johannes / Bernini,</w:t>
      </w:r>
      <w:r w:rsidRPr="001D0BDB">
        <w:t xml:space="preserve"> </w:t>
      </w:r>
      <w:r>
        <w:t xml:space="preserve">Giuliano / Buridant, Claude (eds.): </w:t>
      </w:r>
      <w:r w:rsidRPr="009949D9">
        <w:rPr>
          <w:i/>
        </w:rPr>
        <w:t>Toward a typology of European languages</w:t>
      </w:r>
      <w:r>
        <w:t xml:space="preserve"> (Empirical Approaches to Language Typology, 8), pp. 63–111. Berlin: Mouton de Gruyter.</w:t>
      </w:r>
    </w:p>
    <w:p w:rsidR="001D0BDB" w:rsidRDefault="001D0BDB" w:rsidP="001D0BDB">
      <w:pPr>
        <w:pStyle w:val="Literaturverzeichnis1"/>
        <w:ind w:left="397" w:hanging="397"/>
      </w:pPr>
      <w:r>
        <w:t xml:space="preserve">Pekelis, Olga (2021): </w:t>
      </w:r>
      <w:r w:rsidRPr="001D0BDB">
        <w:rPr>
          <w:i/>
        </w:rPr>
        <w:t>Moj ili svoj?</w:t>
      </w:r>
      <w:r>
        <w:t xml:space="preserve"> Ob ėvolucii pritjažatel’nych mestoimenij v russkom jazyke</w:t>
      </w:r>
      <w:r>
        <w:cr/>
        <w:t xml:space="preserve">posle XVIII veka. </w:t>
      </w:r>
      <w:r w:rsidRPr="001D0BDB">
        <w:rPr>
          <w:i/>
        </w:rPr>
        <w:t>Russian Linguistics</w:t>
      </w:r>
      <w:r>
        <w:t xml:space="preserve"> 52, pp. 75-91.</w:t>
      </w:r>
    </w:p>
    <w:p w:rsidR="001D0BDB" w:rsidRDefault="00A56B0E" w:rsidP="001D0BDB">
      <w:pPr>
        <w:pStyle w:val="Literaturverzeichnis1"/>
        <w:ind w:left="397" w:hanging="397"/>
      </w:pPr>
      <w:r>
        <w:t xml:space="preserve">Uhlik, Mladen / </w:t>
      </w:r>
      <w:r w:rsidR="001D0BDB">
        <w:t xml:space="preserve">Žele, Andreja (2020): Kontrastivna obravnava povratnosvojilnega zaimka v slovenščini in ruščini. </w:t>
      </w:r>
      <w:r w:rsidR="001D0BDB" w:rsidRPr="001D0BDB">
        <w:rPr>
          <w:i/>
        </w:rPr>
        <w:t>Jezikoslovni zapiski</w:t>
      </w:r>
      <w:r w:rsidR="001D0BDB">
        <w:t xml:space="preserve"> 26(1), pp. 95–110.</w:t>
      </w:r>
    </w:p>
    <w:p w:rsidR="00AB181E" w:rsidRDefault="00224AA6">
      <w:pPr>
        <w:pStyle w:val="berschrift1"/>
      </w:pPr>
      <w:r>
        <w:t>Contact information</w:t>
      </w:r>
    </w:p>
    <w:p w:rsidR="00AB181E" w:rsidRPr="001D0BDB" w:rsidRDefault="001D0BDB">
      <w:pPr>
        <w:rPr>
          <w:lang w:val="en-US"/>
        </w:rPr>
      </w:pPr>
      <w:r w:rsidRPr="001D0BDB">
        <w:rPr>
          <w:rStyle w:val="Fett"/>
          <w:lang w:val="en-US"/>
        </w:rPr>
        <w:t>Tatiana Perevozchikova</w:t>
      </w:r>
    </w:p>
    <w:p w:rsidR="00AB181E" w:rsidRPr="00734D9C" w:rsidRDefault="001D0BDB">
      <w:r w:rsidRPr="00734D9C">
        <w:t>Slavisches Seminar, Universität Tübingen</w:t>
      </w:r>
    </w:p>
    <w:p w:rsidR="00AB181E" w:rsidRPr="00475AD6" w:rsidRDefault="009232CD">
      <w:pPr>
        <w:rPr>
          <w:lang w:val="de-DE"/>
        </w:rPr>
      </w:pPr>
      <w:hyperlink r:id="rId8" w:history="1">
        <w:r w:rsidR="001D0BDB" w:rsidRPr="00475AD6">
          <w:rPr>
            <w:rStyle w:val="Hyperlink"/>
            <w:lang w:val="de-DE"/>
          </w:rPr>
          <w:t>tatiana.perevozchikova@uni-tuebingen.de</w:t>
        </w:r>
      </w:hyperlink>
    </w:p>
    <w:p w:rsidR="00AB181E" w:rsidRPr="00475AD6" w:rsidRDefault="00AB181E">
      <w:pPr>
        <w:pStyle w:val="Literaturverzeichnis1"/>
        <w:ind w:left="0" w:firstLine="0"/>
        <w:rPr>
          <w:lang w:val="de-DE"/>
        </w:rPr>
      </w:pPr>
    </w:p>
    <w:p w:rsidR="00AB181E" w:rsidRPr="00475AD6" w:rsidRDefault="00AB181E">
      <w:pPr>
        <w:pStyle w:val="Literaturverzeichnis1"/>
        <w:ind w:left="0" w:firstLine="0"/>
        <w:rPr>
          <w:lang w:val="de-DE"/>
        </w:rPr>
      </w:pPr>
    </w:p>
    <w:sectPr w:rsidR="00AB181E" w:rsidRPr="00475AD6">
      <w:headerReference w:type="default" r:id="rId9"/>
      <w:footerReference w:type="default" r:id="rId10"/>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32CD" w:rsidRDefault="009232CD">
      <w:pPr>
        <w:spacing w:before="0" w:line="240" w:lineRule="auto"/>
      </w:pPr>
      <w:r>
        <w:separator/>
      </w:r>
    </w:p>
  </w:endnote>
  <w:endnote w:type="continuationSeparator" w:id="0">
    <w:p w:rsidR="009232CD" w:rsidRDefault="009232C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6E343038-ED75-45CD-888E-A4ED6ADCC6F0}"/>
    <w:embedBold r:id="rId2" w:fontKey="{9684AE1F-2CD2-444B-A2FE-DDAC35109BD4}"/>
    <w:embedItalic r:id="rId3" w:fontKey="{298EDF6D-1908-435D-A566-E91451C1AC61}"/>
    <w:embedBoldItalic r:id="rId4" w:fontKey="{C0CB2617-CD61-47F0-8D39-FE932BA4B0FC}"/>
  </w:font>
  <w:font w:name="Tahoma">
    <w:panose1 w:val="020B0604030504040204"/>
    <w:charset w:val="00"/>
    <w:family w:val="swiss"/>
    <w:pitch w:val="variable"/>
    <w:sig w:usb0="E1002EFF" w:usb1="C000605B" w:usb2="00000029" w:usb3="00000000" w:csb0="000101FF" w:csb1="00000000"/>
    <w:embedRegular r:id="rId5" w:fontKey="{A7869CE9-269A-4BE9-8961-A8F745A25C8F}"/>
    <w:embedBold r:id="rId6" w:fontKey="{3310C546-C2A9-40FF-B99E-E01F4964C445}"/>
    <w:embedItalic r:id="rId7" w:fontKey="{F1AAF06B-0572-4D9D-A5CE-55DF635673F5}"/>
  </w:font>
  <w:font w:name="Libertinus Serif">
    <w:altName w:val="Arial"/>
    <w:panose1 w:val="00000000000000000000"/>
    <w:charset w:val="00"/>
    <w:family w:val="modern"/>
    <w:notTrueType/>
    <w:pitch w:val="variable"/>
    <w:sig w:usb0="00000000" w:usb1="0200E5FB" w:usb2="01000020" w:usb3="00000000" w:csb0="000001BF" w:csb1="00000000"/>
  </w:font>
  <w:font w:name="Fira Sans">
    <w:altName w:val="Corbel"/>
    <w:panose1 w:val="00000000000000000000"/>
    <w:charset w:val="00"/>
    <w:family w:val="swiss"/>
    <w:notTrueType/>
    <w:pitch w:val="variable"/>
    <w:sig w:usb0="00000001"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80000001" w:csb1="00000000"/>
    <w:embedRegular r:id="rId8" w:fontKey="{CD3293AD-724D-4798-A1BB-F8036366C795}"/>
  </w:font>
  <w:font w:name="Liberation Sans">
    <w:altName w:val="Arial"/>
    <w:charset w:val="00"/>
    <w:family w:val="swiss"/>
    <w:pitch w:val="variable"/>
    <w:sig w:usb0="E0000AFF" w:usb1="500078FF" w:usb2="00000021" w:usb3="00000000" w:csb0="000001BF" w:csb1="00000000"/>
    <w:embedBold r:id="rId9" w:fontKey="{AB3AE0B5-FA0E-4E44-846D-8FE84B329ADC}"/>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0" w:fontKey="{A3045307-6EF5-462B-881B-76C8046C5BC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81E" w:rsidRDefault="00224AA6" w:rsidP="00694682">
    <w:pPr>
      <w:pStyle w:val="Fuzeile"/>
      <w:jc w:val="right"/>
    </w:pPr>
    <w:r>
      <w:rPr>
        <w:rStyle w:val="Seitenzahl"/>
        <w:rFonts w:cs="Libertinus Serif"/>
      </w:rPr>
      <w:fldChar w:fldCharType="begin"/>
    </w:r>
    <w:r>
      <w:rPr>
        <w:rStyle w:val="Seitenzahl"/>
        <w:rFonts w:cs="Libertinus Serif"/>
      </w:rPr>
      <w:instrText xml:space="preserve"> PAGE </w:instrText>
    </w:r>
    <w:r>
      <w:rPr>
        <w:rStyle w:val="Seitenzahl"/>
        <w:rFonts w:cs="Libertinus Serif"/>
      </w:rPr>
      <w:fldChar w:fldCharType="separate"/>
    </w:r>
    <w:r w:rsidR="005E06C2">
      <w:rPr>
        <w:rStyle w:val="Seitenzahl"/>
        <w:rFonts w:cs="Libertinus Serif"/>
        <w:noProof/>
      </w:rPr>
      <w:t>2</w:t>
    </w:r>
    <w:r>
      <w:rPr>
        <w:rStyle w:val="Seitenzahl"/>
        <w:rFonts w:cs="Libertinus Serif"/>
      </w:rPr>
      <w:fldChar w:fldCharType="end"/>
    </w:r>
  </w:p>
  <w:p w:rsidR="00AB181E" w:rsidRDefault="00AB181E">
    <w:pPr>
      <w:pStyle w:val="Fuzeile"/>
    </w:pPr>
  </w:p>
  <w:p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32CD" w:rsidRDefault="009232CD">
      <w:pPr>
        <w:rPr>
          <w:sz w:val="12"/>
        </w:rPr>
      </w:pPr>
      <w:r>
        <w:separator/>
      </w:r>
    </w:p>
  </w:footnote>
  <w:footnote w:type="continuationSeparator" w:id="0">
    <w:p w:rsidR="009232CD" w:rsidRDefault="009232CD">
      <w:pPr>
        <w:rPr>
          <w:sz w:val="12"/>
        </w:rPr>
      </w:pPr>
      <w:r>
        <w:continuationSeparator/>
      </w:r>
    </w:p>
  </w:footnote>
  <w:footnote w:id="1">
    <w:p w:rsidR="00475AD6" w:rsidRPr="00475AD6" w:rsidRDefault="00475AD6">
      <w:pPr>
        <w:pStyle w:val="Funotentext"/>
        <w:rPr>
          <w:lang w:val="en-US"/>
        </w:rPr>
      </w:pPr>
      <w:r>
        <w:rPr>
          <w:rStyle w:val="Funotenzeichen"/>
        </w:rPr>
        <w:footnoteRef/>
      </w:r>
      <w:r>
        <w:t xml:space="preserve"> </w:t>
      </w:r>
      <w:r w:rsidRPr="00475AD6">
        <w:rPr>
          <w:lang w:val="en-US"/>
        </w:rPr>
        <w:t>Plural</w:t>
      </w:r>
      <w:r>
        <w:rPr>
          <w:lang w:val="en-US"/>
        </w:rPr>
        <w:t xml:space="preserve">, plural polite </w:t>
      </w:r>
      <w:r w:rsidRPr="00475AD6">
        <w:rPr>
          <w:lang w:val="en-US"/>
        </w:rPr>
        <w:t>and singular polite contexts in Slavic languages are not distinguished morphosyntactically</w:t>
      </w:r>
      <w:r>
        <w:rPr>
          <w:lang w:val="en-US"/>
        </w:rPr>
        <w:t xml:space="preserve">. </w:t>
      </w:r>
      <w:r w:rsidRPr="00475AD6">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81E" w:rsidRDefault="00224AA6">
    <w:pPr>
      <w:pStyle w:val="Kopfzeile"/>
    </w:pPr>
    <w:r>
      <w:t>ICLC-10 2023 - Document Template for Revised Abstract</w:t>
    </w:r>
    <w:r>
      <w:rPr>
        <w:lang w:val="en-US"/>
      </w:rPr>
      <w:t>s</w:t>
    </w:r>
  </w:p>
  <w:p w:rsidR="00AB181E" w:rsidRDefault="00AB181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81E"/>
    <w:rsid w:val="00023937"/>
    <w:rsid w:val="000F11EC"/>
    <w:rsid w:val="00122CF1"/>
    <w:rsid w:val="00136762"/>
    <w:rsid w:val="00170616"/>
    <w:rsid w:val="001D0BDB"/>
    <w:rsid w:val="00212E44"/>
    <w:rsid w:val="00224AA6"/>
    <w:rsid w:val="00227F60"/>
    <w:rsid w:val="002E063A"/>
    <w:rsid w:val="002F77EA"/>
    <w:rsid w:val="003857C9"/>
    <w:rsid w:val="003B77BD"/>
    <w:rsid w:val="00475AD6"/>
    <w:rsid w:val="004A4340"/>
    <w:rsid w:val="004C5262"/>
    <w:rsid w:val="005E06C2"/>
    <w:rsid w:val="00605869"/>
    <w:rsid w:val="00694682"/>
    <w:rsid w:val="006D34E1"/>
    <w:rsid w:val="0070166C"/>
    <w:rsid w:val="00717483"/>
    <w:rsid w:val="00734D9C"/>
    <w:rsid w:val="008925E3"/>
    <w:rsid w:val="00897C95"/>
    <w:rsid w:val="00912260"/>
    <w:rsid w:val="009232CD"/>
    <w:rsid w:val="009949D9"/>
    <w:rsid w:val="009D4AD9"/>
    <w:rsid w:val="00A54BA3"/>
    <w:rsid w:val="00A56B0E"/>
    <w:rsid w:val="00A93305"/>
    <w:rsid w:val="00AB181E"/>
    <w:rsid w:val="00AB3DEF"/>
    <w:rsid w:val="00B013A5"/>
    <w:rsid w:val="00B22F8E"/>
    <w:rsid w:val="00C425D1"/>
    <w:rsid w:val="00D02E70"/>
    <w:rsid w:val="00D43FE4"/>
    <w:rsid w:val="00D6050A"/>
    <w:rsid w:val="00DB1137"/>
    <w:rsid w:val="00DC6A0C"/>
    <w:rsid w:val="00DE7218"/>
    <w:rsid w:val="00EB0549"/>
    <w:rsid w:val="00EE36AA"/>
    <w:rsid w:val="00EF289E"/>
    <w:rsid w:val="00F00B9B"/>
    <w:rsid w:val="00F37D8F"/>
    <w:rsid w:val="00F47A0D"/>
    <w:rsid w:val="00F67855"/>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A54F9"/>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uppressAutoHyphens w:val="0"/>
      <w:spacing w:before="113" w:line="280" w:lineRule="exact"/>
      <w:jc w:val="both"/>
    </w:pPr>
    <w:rPr>
      <w:rFonts w:ascii="Libertinus Serif" w:hAnsi="Libertinus Serif"/>
    </w:rPr>
  </w:style>
  <w:style w:type="paragraph" w:styleId="berschrift1">
    <w:name w:val="heading 1"/>
    <w:basedOn w:val="Standard"/>
    <w:next w:val="Standard"/>
    <w:link w:val="berschrift1Zchn"/>
    <w:qFormat/>
    <w:pPr>
      <w:keepNext/>
      <w:keepLines/>
      <w:spacing w:before="340" w:after="113" w:line="360" w:lineRule="exact"/>
      <w:outlineLvl w:val="0"/>
    </w:pPr>
    <w:rPr>
      <w:rFonts w:ascii="Fira Sans" w:hAnsi="Fira Sans"/>
      <w:b/>
      <w:color w:val="4FAF4A"/>
      <w:sz w:val="28"/>
      <w:szCs w:val="32"/>
    </w:rPr>
  </w:style>
  <w:style w:type="paragraph" w:styleId="berschrift2">
    <w:name w:val="heading 2"/>
    <w:basedOn w:val="Standard"/>
    <w:next w:val="Standard"/>
    <w:link w:val="berschrift2Zchn"/>
    <w:qFormat/>
    <w:pPr>
      <w:keepNext/>
      <w:keepLines/>
      <w:spacing w:before="340" w:after="113" w:line="340" w:lineRule="exact"/>
      <w:outlineLvl w:val="1"/>
    </w:pPr>
    <w:rPr>
      <w:rFonts w:ascii="Fira Sans" w:hAnsi="Fira Sans"/>
      <w:b/>
      <w:color w:val="4FAF4A"/>
      <w:sz w:val="26"/>
      <w:szCs w:val="26"/>
    </w:rPr>
  </w:style>
  <w:style w:type="paragraph" w:styleId="berschrift3">
    <w:name w:val="heading 3"/>
    <w:basedOn w:val="Standard"/>
    <w:next w:val="Standard"/>
    <w:link w:val="berschrift3Zchn"/>
    <w:qFormat/>
    <w:pPr>
      <w:keepNext/>
      <w:keepLines/>
      <w:spacing w:before="227" w:after="113" w:line="320" w:lineRule="exact"/>
      <w:outlineLvl w:val="2"/>
    </w:pPr>
    <w:rPr>
      <w:rFonts w:ascii="Fira Sans" w:hAnsi="Fira Sans"/>
      <w:color w:val="4FAF4A"/>
      <w:sz w:val="24"/>
      <w:szCs w:val="24"/>
    </w:rPr>
  </w:style>
  <w:style w:type="paragraph" w:styleId="berschrift4">
    <w:name w:val="heading 4"/>
    <w:basedOn w:val="Standard"/>
    <w:next w:val="Standard"/>
    <w:link w:val="berschrift4Zchn"/>
    <w:qFormat/>
    <w:pPr>
      <w:keepNext/>
      <w:keepLines/>
      <w:spacing w:before="227"/>
      <w:outlineLvl w:val="3"/>
    </w:pPr>
    <w:rPr>
      <w:rFonts w:ascii="Fira Sans" w:hAnsi="Fira Sans"/>
      <w:iCs/>
      <w:color w:val="4FAF4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qFormat/>
    <w:rPr>
      <w:rFonts w:ascii="Fira Sans" w:eastAsia="Calibri" w:hAnsi="Fira Sans" w:cs="Tahoma"/>
      <w:b/>
      <w:color w:val="F79646"/>
      <w:sz w:val="28"/>
      <w:szCs w:val="32"/>
    </w:rPr>
  </w:style>
  <w:style w:type="character" w:customStyle="1" w:styleId="berschrift2Zchn">
    <w:name w:val="Überschrift 2 Zchn"/>
    <w:basedOn w:val="Absatz-Standardschriftart"/>
    <w:link w:val="berschrift2"/>
    <w:qFormat/>
    <w:rPr>
      <w:rFonts w:ascii="Fira Sans" w:eastAsia="Calibri" w:hAnsi="Fira Sans" w:cs="Tahoma"/>
      <w:b/>
      <w:color w:val="F79646"/>
      <w:sz w:val="26"/>
      <w:szCs w:val="26"/>
    </w:rPr>
  </w:style>
  <w:style w:type="character" w:customStyle="1" w:styleId="berschrift3Zchn">
    <w:name w:val="Überschrift 3 Zchn"/>
    <w:basedOn w:val="Absatz-Standardschriftart"/>
    <w:link w:val="berschrift3"/>
    <w:qFormat/>
    <w:rPr>
      <w:rFonts w:ascii="Fira Sans" w:eastAsia="Calibri" w:hAnsi="Fira Sans" w:cs="Tahoma"/>
      <w:color w:val="F79646"/>
      <w:sz w:val="24"/>
      <w:szCs w:val="24"/>
    </w:rPr>
  </w:style>
  <w:style w:type="character" w:customStyle="1" w:styleId="berschrift4Zchn">
    <w:name w:val="Überschrift 4 Zchn"/>
    <w:basedOn w:val="Absatz-Standardschriftart"/>
    <w:link w:val="berschrift4"/>
    <w:qFormat/>
    <w:rPr>
      <w:rFonts w:ascii="Fira Sans" w:eastAsia="Calibri" w:hAnsi="Fira Sans" w:cs="Tahoma"/>
      <w:iCs/>
      <w:color w:val="F79646"/>
    </w:rPr>
  </w:style>
  <w:style w:type="character" w:customStyle="1" w:styleId="TitelZchn">
    <w:name w:val="Titel Zchn"/>
    <w:basedOn w:val="Absatz-Standardschriftart"/>
    <w:link w:val="Titel"/>
    <w:qFormat/>
    <w:rsid w:val="00227F60"/>
    <w:rPr>
      <w:rFonts w:ascii="Fira Sans" w:hAnsi="Fira Sans"/>
      <w:b/>
      <w:color w:val="4FAF4A"/>
      <w:sz w:val="38"/>
      <w:szCs w:val="56"/>
    </w:rPr>
  </w:style>
  <w:style w:type="character" w:styleId="Fett">
    <w:name w:val="Strong"/>
    <w:basedOn w:val="Absatz-Standardschriftart"/>
    <w:qFormat/>
    <w:rPr>
      <w:b/>
      <w:bCs/>
    </w:rPr>
  </w:style>
  <w:style w:type="character" w:styleId="Hervorhebung">
    <w:name w:val="Emphasis"/>
    <w:basedOn w:val="Absatz-Standardschriftart"/>
    <w:qFormat/>
    <w:rPr>
      <w:i/>
      <w:iCs/>
    </w:rPr>
  </w:style>
  <w:style w:type="character" w:styleId="IntensiveHervorhebung">
    <w:name w:val="Intense Emphasis"/>
    <w:basedOn w:val="Absatz-Standardschriftart"/>
    <w:qFormat/>
    <w:rPr>
      <w:rFonts w:ascii="Libertinus Serif" w:hAnsi="Libertinus Serif"/>
      <w:b/>
      <w:bCs/>
      <w:i/>
      <w:iCs/>
      <w:color w:val="auto"/>
    </w:rPr>
  </w:style>
  <w:style w:type="character" w:customStyle="1" w:styleId="ZitatZchn">
    <w:name w:val="Zitat Zchn"/>
    <w:basedOn w:val="Absatz-Standardschriftart"/>
    <w:link w:val="Zitat"/>
    <w:qFormat/>
    <w:rPr>
      <w:rFonts w:ascii="Libertinus Serif" w:hAnsi="Libertinus Serif"/>
      <w:iCs/>
      <w:sz w:val="20"/>
    </w:rPr>
  </w:style>
  <w:style w:type="character" w:customStyle="1" w:styleId="UntertitelZchn">
    <w:name w:val="Untertitel Zchn"/>
    <w:basedOn w:val="Absatz-Standardschriftart"/>
    <w:link w:val="Untertitel"/>
    <w:qFormat/>
    <w:rsid w:val="004C5262"/>
    <w:rPr>
      <w:rFonts w:ascii="Fira Sans" w:hAnsi="Fira Sans"/>
      <w:b/>
      <w:color w:val="5A5A5A"/>
      <w:spacing w:val="16"/>
      <w:sz w:val="28"/>
    </w:rPr>
  </w:style>
  <w:style w:type="character" w:customStyle="1" w:styleId="KopfzeileZchn">
    <w:name w:val="Kopfzeile Zchn"/>
    <w:basedOn w:val="Absatz-Standardschriftart"/>
    <w:link w:val="Kopfzeile"/>
    <w:qFormat/>
    <w:rPr>
      <w:rFonts w:ascii="Times New Roman" w:hAnsi="Times New Roman"/>
      <w:sz w:val="24"/>
    </w:rPr>
  </w:style>
  <w:style w:type="character" w:customStyle="1" w:styleId="FuzeileZchn">
    <w:name w:val="Fußzeile Zchn"/>
    <w:basedOn w:val="Absatz-Standardschriftart"/>
    <w:link w:val="Fuzeile"/>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Absatz-Standardschriftart"/>
    <w:rPr>
      <w:color w:val="000080"/>
      <w:w w:val="100"/>
      <w:u w:val="thick" w:color="000080"/>
    </w:rPr>
  </w:style>
  <w:style w:type="character" w:styleId="Seitenzahl">
    <w:name w:val="page number"/>
    <w:basedOn w:val="Absatz-Standardschriftart"/>
    <w:qFormat/>
  </w:style>
  <w:style w:type="character" w:customStyle="1" w:styleId="FunotentextZchn">
    <w:name w:val="Fußnotentext Zchn"/>
    <w:basedOn w:val="Absatz-Standardschriftart"/>
    <w:link w:val="Funotentext"/>
    <w:qFormat/>
    <w:rPr>
      <w:rFonts w:ascii="Times New Roman" w:hAnsi="Times New Roman"/>
      <w:sz w:val="20"/>
      <w:szCs w:val="20"/>
    </w:rPr>
  </w:style>
  <w:style w:type="character" w:customStyle="1" w:styleId="IntensivesZitatZchn">
    <w:name w:val="Intensives Zitat Zchn"/>
    <w:basedOn w:val="Absatz-Standardschriftart"/>
    <w:link w:val="IntensivesZitat"/>
    <w:qFormat/>
    <w:rPr>
      <w:rFonts w:ascii="Libertinus Serif" w:hAnsi="Libertinus Serif"/>
      <w:bCs/>
      <w:sz w:val="20"/>
    </w:rPr>
  </w:style>
  <w:style w:type="character" w:customStyle="1" w:styleId="KapitlchenSmallCapital">
    <w:name w:val="Kapitälchen/Small Capital"/>
    <w:basedOn w:val="Absatz-Standardschriftart"/>
    <w:qFormat/>
    <w:rPr>
      <w:smallCaps/>
    </w:rPr>
  </w:style>
  <w:style w:type="character" w:customStyle="1" w:styleId="Aufzhlungszeichen1">
    <w:name w:val="Aufzählungszeichen1"/>
    <w:qFormat/>
    <w:rPr>
      <w:rFonts w:ascii="OpenSymbol" w:eastAsia="OpenSymbol" w:hAnsi="OpenSymbol" w:cs="OpenSymbol"/>
    </w:rPr>
  </w:style>
  <w:style w:type="character" w:styleId="Funotenzeichen">
    <w:name w:val="footnote reference"/>
    <w:rPr>
      <w:vertAlign w:val="superscript"/>
    </w:rPr>
  </w:style>
  <w:style w:type="character" w:styleId="Endnotenzeichen">
    <w:name w:val="endnote reference"/>
    <w:rPr>
      <w:vertAlign w:val="superscript"/>
    </w:rPr>
  </w:style>
  <w:style w:type="character" w:customStyle="1" w:styleId="SprechblasentextZchn">
    <w:name w:val="Sprechblasentext Zchn"/>
    <w:basedOn w:val="Absatz-Standardschriftart"/>
    <w:link w:val="Sprechblasentext"/>
    <w:qFormat/>
    <w:rPr>
      <w:rFonts w:ascii="Tahoma" w:hAnsi="Tahoma" w:cs="Tahoma"/>
      <w:sz w:val="16"/>
      <w:szCs w:val="16"/>
    </w:rPr>
  </w:style>
  <w:style w:type="paragraph" w:customStyle="1" w:styleId="berschrift">
    <w:name w:val="Überschrift"/>
    <w:basedOn w:val="berschrift1"/>
    <w:next w:val="Textkrper"/>
    <w:qFormat/>
    <w:pPr>
      <w:spacing w:before="240" w:after="120"/>
    </w:pPr>
    <w:rPr>
      <w:rFonts w:ascii="Liberation Sans" w:eastAsia="Noto Sans CJK SC" w:hAnsi="Liberation Sans" w:cs="Droid Sans Devanagari"/>
      <w:szCs w:val="28"/>
    </w:rPr>
  </w:style>
  <w:style w:type="paragraph" w:styleId="Textkrper">
    <w:name w:val="Body Text"/>
    <w:basedOn w:val="Standard"/>
    <w:pPr>
      <w:spacing w:before="0" w:after="140" w:line="276" w:lineRule="auto"/>
    </w:pPr>
  </w:style>
  <w:style w:type="paragraph" w:styleId="Liste">
    <w:name w:val="List"/>
    <w:basedOn w:val="Textkrper"/>
    <w:rPr>
      <w:rFonts w:cs="Droid Sans Devanagari"/>
    </w:rPr>
  </w:style>
  <w:style w:type="paragraph" w:styleId="Beschriftung">
    <w:name w:val="caption"/>
    <w:basedOn w:val="Standard"/>
    <w:qFormat/>
    <w:pPr>
      <w:suppressLineNumbers/>
      <w:spacing w:after="227" w:line="232" w:lineRule="exact"/>
    </w:pPr>
    <w:rPr>
      <w:rFonts w:cs="Droid Sans Devanagari"/>
      <w:iCs/>
      <w:sz w:val="19"/>
      <w:szCs w:val="24"/>
    </w:rPr>
  </w:style>
  <w:style w:type="paragraph" w:customStyle="1" w:styleId="Verzeichnis">
    <w:name w:val="Verzeichnis"/>
    <w:basedOn w:val="Standard"/>
    <w:qFormat/>
    <w:pPr>
      <w:suppressLineNumbers/>
    </w:pPr>
    <w:rPr>
      <w:rFonts w:cs="Droid Sans Devanagari"/>
    </w:rPr>
  </w:style>
  <w:style w:type="paragraph" w:styleId="Titel">
    <w:name w:val="Title"/>
    <w:basedOn w:val="Standard"/>
    <w:next w:val="Standard"/>
    <w:link w:val="TitelZchn"/>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Zitat">
    <w:name w:val="Quote"/>
    <w:basedOn w:val="Standard"/>
    <w:next w:val="Standard"/>
    <w:link w:val="ZitatZchn"/>
    <w:qFormat/>
    <w:pPr>
      <w:spacing w:line="250" w:lineRule="exact"/>
      <w:ind w:left="794" w:right="794"/>
    </w:pPr>
    <w:rPr>
      <w:iCs/>
      <w:sz w:val="20"/>
    </w:rPr>
  </w:style>
  <w:style w:type="paragraph" w:styleId="Untertitel">
    <w:name w:val="Subtitle"/>
    <w:basedOn w:val="Standard"/>
    <w:next w:val="Standard"/>
    <w:link w:val="UntertitelZchn"/>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el"/>
    <w:qFormat/>
    <w:pPr>
      <w:spacing w:before="0" w:line="340" w:lineRule="exact"/>
    </w:pPr>
    <w:rPr>
      <w:b w:val="0"/>
      <w:color w:val="auto"/>
      <w:sz w:val="26"/>
    </w:rPr>
  </w:style>
  <w:style w:type="paragraph" w:styleId="Listenabsatz">
    <w:name w:val="List Paragraph"/>
    <w:basedOn w:val="Standard"/>
    <w:qFormat/>
    <w:pPr>
      <w:tabs>
        <w:tab w:val="left" w:pos="0"/>
      </w:tabs>
      <w:ind w:left="284" w:hanging="284"/>
      <w:contextualSpacing/>
    </w:pPr>
  </w:style>
  <w:style w:type="paragraph" w:customStyle="1" w:styleId="Example">
    <w:name w:val="Example"/>
    <w:basedOn w:val="Standard"/>
    <w:qFormat/>
    <w:rsid w:val="00A54BA3"/>
    <w:pPr>
      <w:numPr>
        <w:numId w:val="3"/>
      </w:numPr>
      <w:spacing w:before="57" w:after="57" w:line="240" w:lineRule="exact"/>
      <w:ind w:left="454" w:hanging="454"/>
    </w:pPr>
    <w:rPr>
      <w:sz w:val="20"/>
    </w:rPr>
  </w:style>
  <w:style w:type="paragraph" w:customStyle="1" w:styleId="Kopf-undFuzeile">
    <w:name w:val="Kopf- und Fußzeile"/>
    <w:basedOn w:val="Standard"/>
    <w:qFormat/>
  </w:style>
  <w:style w:type="paragraph" w:styleId="Kopfzeile">
    <w:name w:val="header"/>
    <w:basedOn w:val="Standard"/>
    <w:link w:val="KopfzeileZchn"/>
    <w:pPr>
      <w:tabs>
        <w:tab w:val="center" w:pos="4536"/>
        <w:tab w:val="right" w:pos="9072"/>
      </w:tabs>
      <w:spacing w:before="0" w:line="240" w:lineRule="auto"/>
    </w:pPr>
  </w:style>
  <w:style w:type="paragraph" w:styleId="Fuzeile">
    <w:name w:val="footer"/>
    <w:basedOn w:val="Standard"/>
    <w:link w:val="FuzeileZchn"/>
    <w:pPr>
      <w:tabs>
        <w:tab w:val="center" w:pos="4536"/>
        <w:tab w:val="right" w:pos="9072"/>
      </w:tabs>
      <w:spacing w:before="0" w:line="240" w:lineRule="auto"/>
    </w:pPr>
  </w:style>
  <w:style w:type="paragraph" w:customStyle="1" w:styleId="FunoteFootnote">
    <w:name w:val="Fußnote/Footnote"/>
    <w:basedOn w:val="Funotentext"/>
    <w:qFormat/>
    <w:pPr>
      <w:tabs>
        <w:tab w:val="left" w:pos="283"/>
      </w:tabs>
      <w:spacing w:line="230" w:lineRule="atLeast"/>
      <w:ind w:left="284" w:hanging="284"/>
      <w:textAlignment w:val="center"/>
    </w:pPr>
    <w:rPr>
      <w:rFonts w:cs="Times New Roman"/>
    </w:rPr>
  </w:style>
  <w:style w:type="paragraph" w:styleId="Funotentext">
    <w:name w:val="footnote text"/>
    <w:basedOn w:val="Standard"/>
    <w:link w:val="FunotentextZchn"/>
    <w:pPr>
      <w:spacing w:before="0" w:line="232" w:lineRule="exact"/>
      <w:ind w:left="283" w:hanging="283"/>
    </w:pPr>
    <w:rPr>
      <w:sz w:val="19"/>
      <w:szCs w:val="20"/>
    </w:rPr>
  </w:style>
  <w:style w:type="paragraph" w:customStyle="1" w:styleId="Keywords">
    <w:name w:val="Keywords"/>
    <w:basedOn w:val="Standard"/>
    <w:qFormat/>
    <w:rPr>
      <w:sz w:val="20"/>
    </w:rPr>
  </w:style>
  <w:style w:type="paragraph" w:styleId="IntensivesZitat">
    <w:name w:val="Intense Quote"/>
    <w:basedOn w:val="Zitat"/>
    <w:next w:val="Standard"/>
    <w:link w:val="IntensivesZitatZchn"/>
    <w:qFormat/>
    <w:rPr>
      <w:bCs/>
      <w:iCs w:val="0"/>
    </w:rPr>
  </w:style>
  <w:style w:type="paragraph" w:customStyle="1" w:styleId="ReferenceEntry">
    <w:name w:val="Reference Entry"/>
    <w:basedOn w:val="Standard"/>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Textkrper"/>
    <w:qFormat/>
    <w:pPr>
      <w:spacing w:after="0"/>
      <w:ind w:left="283" w:hanging="283"/>
    </w:pPr>
  </w:style>
  <w:style w:type="paragraph" w:customStyle="1" w:styleId="Tabelleninhalt">
    <w:name w:val="Tabelleninhalt"/>
    <w:basedOn w:val="Standard"/>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berschrift">
    <w:name w:val="index heading"/>
    <w:basedOn w:val="berschrift1"/>
    <w:autoRedefine/>
  </w:style>
  <w:style w:type="paragraph" w:styleId="Rechtsgrundlagenverzeichnis">
    <w:name w:val="table of authorities"/>
    <w:basedOn w:val="berschrift1"/>
    <w:autoRedefine/>
    <w:pPr>
      <w:suppressLineNumbers/>
    </w:pPr>
  </w:style>
  <w:style w:type="paragraph" w:styleId="Gruformel">
    <w:name w:val="Closing"/>
    <w:basedOn w:val="berschrift"/>
    <w:next w:val="Textkrper"/>
    <w:qFormat/>
    <w:pPr>
      <w:jc w:val="center"/>
    </w:pPr>
    <w:rPr>
      <w:bCs/>
      <w:szCs w:val="32"/>
    </w:rPr>
  </w:style>
  <w:style w:type="paragraph" w:styleId="Inhaltsverzeichnisberschrift">
    <w:name w:val="TOC Heading"/>
    <w:basedOn w:val="Indexberschrift"/>
  </w:style>
  <w:style w:type="paragraph" w:customStyle="1" w:styleId="Abbildungsindexberschriften">
    <w:name w:val="Abbildungsindex Überschriften"/>
    <w:basedOn w:val="Indexberschrift"/>
    <w:qFormat/>
  </w:style>
  <w:style w:type="paragraph" w:customStyle="1" w:styleId="OLtext">
    <w:name w:val="OL text"/>
    <w:basedOn w:val="Standard"/>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Standard"/>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Standard"/>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Sprechblasentext">
    <w:name w:val="Balloon Text"/>
    <w:basedOn w:val="Standard"/>
    <w:link w:val="SprechblasentextZchn"/>
    <w:qFormat/>
    <w:pPr>
      <w:spacing w:before="0" w:line="240" w:lineRule="auto"/>
    </w:pPr>
    <w:rPr>
      <w:rFonts w:ascii="Tahoma" w:hAnsi="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4883181">
      <w:bodyDiv w:val="1"/>
      <w:marLeft w:val="0"/>
      <w:marRight w:val="0"/>
      <w:marTop w:val="0"/>
      <w:marBottom w:val="0"/>
      <w:divBdr>
        <w:top w:val="none" w:sz="0" w:space="0" w:color="auto"/>
        <w:left w:val="none" w:sz="0" w:space="0" w:color="auto"/>
        <w:bottom w:val="none" w:sz="0" w:space="0" w:color="auto"/>
        <w:right w:val="none" w:sz="0" w:space="0" w:color="auto"/>
      </w:divBdr>
    </w:div>
    <w:div w:id="19936780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tatiana.perevozchikova@uni-tuebingen.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E28BA3-0CAC-40B3-B455-57E835FE1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728</Words>
  <Characters>4593</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Windows-Benutzer</cp:lastModifiedBy>
  <cp:revision>2</cp:revision>
  <cp:lastPrinted>2023-05-05T12:59:00Z</cp:lastPrinted>
  <dcterms:created xsi:type="dcterms:W3CDTF">2023-05-08T09:52:00Z</dcterms:created>
  <dcterms:modified xsi:type="dcterms:W3CDTF">2023-05-08T09:52:00Z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