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1B952B3" w14:textId="68C7D41C" w:rsidR="00AB181E" w:rsidRDefault="0045632D">
      <w:pPr>
        <w:pStyle w:val="Author"/>
      </w:pPr>
      <w:r>
        <w:t>Dariusz Koźbiał</w:t>
      </w:r>
    </w:p>
    <w:p w14:paraId="0DA65826" w14:textId="20647460" w:rsidR="00AB181E" w:rsidRDefault="0034318A">
      <w:pPr>
        <w:pStyle w:val="Tytu"/>
      </w:pPr>
      <w:r w:rsidRPr="0034318A">
        <w:t>Evaluation in legal discourse</w:t>
      </w:r>
    </w:p>
    <w:p w14:paraId="41906958" w14:textId="7BB6D03E" w:rsidR="00AB181E" w:rsidRDefault="0034318A">
      <w:pPr>
        <w:pStyle w:val="Podtytu"/>
      </w:pPr>
      <w:r w:rsidRPr="0034318A">
        <w:t>The case of judicial English and Polish Eurolects</w:t>
      </w:r>
    </w:p>
    <w:p w14:paraId="5C263001" w14:textId="77373E2A" w:rsidR="00AB181E" w:rsidRDefault="00224AA6">
      <w:pPr>
        <w:pStyle w:val="Keywords"/>
        <w:jc w:val="left"/>
      </w:pPr>
      <w:r>
        <w:rPr>
          <w:b/>
          <w:szCs w:val="20"/>
        </w:rPr>
        <w:t>Keywords:</w:t>
      </w:r>
      <w:r>
        <w:rPr>
          <w:szCs w:val="20"/>
        </w:rPr>
        <w:t xml:space="preserve"> </w:t>
      </w:r>
      <w:r w:rsidR="009B2F6E">
        <w:rPr>
          <w:szCs w:val="20"/>
        </w:rPr>
        <w:t>legal discourse; judicial language;</w:t>
      </w:r>
      <w:r w:rsidR="00EB6211">
        <w:rPr>
          <w:szCs w:val="20"/>
        </w:rPr>
        <w:t xml:space="preserve"> evaluation;</w:t>
      </w:r>
      <w:r w:rsidR="009B2F6E">
        <w:rPr>
          <w:szCs w:val="20"/>
        </w:rPr>
        <w:t xml:space="preserve"> Eurolects</w:t>
      </w:r>
    </w:p>
    <w:p w14:paraId="3E13DF0C" w14:textId="77777777" w:rsidR="007A487A" w:rsidRPr="009B33B3" w:rsidRDefault="007A487A" w:rsidP="007A487A">
      <w:pPr>
        <w:spacing w:line="276" w:lineRule="auto"/>
      </w:pPr>
      <w:r w:rsidRPr="00A00545">
        <w:t xml:space="preserve">This paper </w:t>
      </w:r>
      <w:r>
        <w:t>examines</w:t>
      </w:r>
      <w:r w:rsidRPr="00A00545">
        <w:t xml:space="preserve"> evaluative linguistic devices </w:t>
      </w:r>
      <w:r w:rsidRPr="00337F3F">
        <w:t xml:space="preserve">in two Eurolects, more specifically the English and Polish judicial Eurolects, from a comparative corpus- and genre-based perspective. It </w:t>
      </w:r>
      <w:r>
        <w:t>focuses primarily on</w:t>
      </w:r>
      <w:r w:rsidRPr="00337F3F">
        <w:t xml:space="preserve"> two interconnected genres, namely</w:t>
      </w:r>
      <w:r>
        <w:t xml:space="preserve">: </w:t>
      </w:r>
      <w:r w:rsidRPr="003B54A6">
        <w:t xml:space="preserve">Advocate Generals’ (AGs’) opinions and judgments issued by the Court of Justice of the European Union (CJEU). The paper addresses two main </w:t>
      </w:r>
      <w:r w:rsidRPr="009B33B3">
        <w:t>questions</w:t>
      </w:r>
      <w:r>
        <w:t>: t</w:t>
      </w:r>
      <w:r w:rsidRPr="009B33B3">
        <w:t xml:space="preserve">o what extent AGs’ opinions and CJEU judgments are evaluative and </w:t>
      </w:r>
      <w:r>
        <w:t>w</w:t>
      </w:r>
      <w:r w:rsidRPr="009B33B3">
        <w:t>hat are the (quantifiable) characteristics of their evaluative language when contrasted with non-translated national varieties of English and Polish?</w:t>
      </w:r>
    </w:p>
    <w:p w14:paraId="4E09E331" w14:textId="77777777" w:rsidR="007A487A" w:rsidRPr="00A00545" w:rsidRDefault="007A487A" w:rsidP="007A487A">
      <w:pPr>
        <w:spacing w:line="276" w:lineRule="auto"/>
      </w:pPr>
      <w:r w:rsidRPr="009B33B3">
        <w:t xml:space="preserve">Evaluation (cf. </w:t>
      </w:r>
      <w:proofErr w:type="spellStart"/>
      <w:r w:rsidRPr="009B33B3">
        <w:t>Hunston</w:t>
      </w:r>
      <w:proofErr w:type="spellEnd"/>
      <w:r w:rsidRPr="009B33B3">
        <w:t xml:space="preserve"> 2007) is </w:t>
      </w:r>
      <w:r>
        <w:t>operationalized</w:t>
      </w:r>
      <w:r w:rsidRPr="009B33B3">
        <w:t xml:space="preserve"> as the manner in which AGs and judges express their stance in legal argumentation which is generally viewed as objective</w:t>
      </w:r>
      <w:r w:rsidRPr="00A00545">
        <w:t>. Despite AGs’ opinions being impartial and independent, they are not binding for CJEU judges. Nevertheless, AGs’ arguments are often</w:t>
      </w:r>
      <w:r>
        <w:t>times</w:t>
      </w:r>
      <w:r w:rsidRPr="00A00545">
        <w:t xml:space="preserve"> </w:t>
      </w:r>
      <w:r>
        <w:t>assessed</w:t>
      </w:r>
      <w:r w:rsidRPr="00A00545">
        <w:t xml:space="preserve"> by the court, which might result in </w:t>
      </w:r>
      <w:r>
        <w:t>the</w:t>
      </w:r>
      <w:r w:rsidRPr="00A00545">
        <w:t xml:space="preserve"> </w:t>
      </w:r>
      <w:r>
        <w:t>(in)direct “</w:t>
      </w:r>
      <w:r w:rsidRPr="00DD6161">
        <w:t>transfer</w:t>
      </w:r>
      <w:r>
        <w:t>”</w:t>
      </w:r>
      <w:r w:rsidRPr="00A00545">
        <w:t xml:space="preserve"> of evaluation. </w:t>
      </w:r>
      <w:r>
        <w:t>Therefore, the</w:t>
      </w:r>
      <w:r w:rsidRPr="00A00545">
        <w:t xml:space="preserve"> interplay between both AGs’ opinions </w:t>
      </w:r>
      <w:r>
        <w:t xml:space="preserve">and </w:t>
      </w:r>
      <w:r w:rsidRPr="00A00545">
        <w:t xml:space="preserve">CJEU judgments constitutes a compelling research </w:t>
      </w:r>
      <w:r>
        <w:t>topic</w:t>
      </w:r>
      <w:r w:rsidRPr="00A00545">
        <w:t xml:space="preserve">, </w:t>
      </w:r>
      <w:r>
        <w:t>especially considering</w:t>
      </w:r>
      <w:r w:rsidRPr="00A00545">
        <w:t xml:space="preserve"> the importance of evaluation in </w:t>
      </w:r>
      <w:r>
        <w:t>legal</w:t>
      </w:r>
      <w:r w:rsidRPr="00A00545">
        <w:t xml:space="preserve"> argumentation.</w:t>
      </w:r>
      <w:r>
        <w:t xml:space="preserve"> </w:t>
      </w:r>
      <w:r w:rsidRPr="00AE6C2A">
        <w:t>Eurolects have been observed to depart from certain conventions</w:t>
      </w:r>
      <w:r w:rsidRPr="00104C55">
        <w:t xml:space="preserve"> of national </w:t>
      </w:r>
      <w:r>
        <w:t xml:space="preserve">(legal) </w:t>
      </w:r>
      <w:r w:rsidRPr="00104C55">
        <w:t>languages (cf. Biel 2014)</w:t>
      </w:r>
      <w:r>
        <w:t>, while e</w:t>
      </w:r>
      <w:r w:rsidRPr="00A00545">
        <w:t xml:space="preserve">valuative linguistic devices have been found to act as a distinctive feature of the English Eurolect (Biel </w:t>
      </w:r>
      <w:r w:rsidRPr="00BD4B35">
        <w:rPr>
          <w:i/>
          <w:iCs/>
        </w:rPr>
        <w:t>et al.</w:t>
      </w:r>
      <w:r w:rsidRPr="00A00545">
        <w:t xml:space="preserve"> 2021)</w:t>
      </w:r>
      <w:r>
        <w:t>. However, evaluation has</w:t>
      </w:r>
      <w:r w:rsidRPr="00A00545">
        <w:t xml:space="preserve"> not been studied </w:t>
      </w:r>
      <w:r>
        <w:t xml:space="preserve">extensively as part of </w:t>
      </w:r>
      <w:r w:rsidRPr="00A00545">
        <w:t>contrastive</w:t>
      </w:r>
      <w:r>
        <w:t xml:space="preserve"> research on</w:t>
      </w:r>
      <w:r w:rsidRPr="00A00545">
        <w:t xml:space="preserve"> two interrelated genres </w:t>
      </w:r>
      <w:r w:rsidRPr="00047998">
        <w:t xml:space="preserve">in the judicial context and languages. It has been studied mainly based on judgments drafted in English (e.g. </w:t>
      </w:r>
      <w:proofErr w:type="spellStart"/>
      <w:r w:rsidRPr="00047998">
        <w:t>Mazzi</w:t>
      </w:r>
      <w:proofErr w:type="spellEnd"/>
      <w:r w:rsidRPr="00047998">
        <w:t xml:space="preserve"> 2010, Goźdź-Roszkowski 202</w:t>
      </w:r>
      <w:r>
        <w:t>2</w:t>
      </w:r>
      <w:r w:rsidRPr="00047998">
        <w:t>), Polish (e.g. Koźbiał 2020</w:t>
      </w:r>
      <w:proofErr w:type="gramStart"/>
      <w:r w:rsidRPr="00047998">
        <w:t>a,b</w:t>
      </w:r>
      <w:proofErr w:type="gramEnd"/>
      <w:r w:rsidRPr="00047998">
        <w:t xml:space="preserve">), Italian (Goźdź-Roszkowski </w:t>
      </w:r>
      <w:r w:rsidRPr="00BD4B35">
        <w:rPr>
          <w:i/>
          <w:iCs/>
        </w:rPr>
        <w:t>et al.</w:t>
      </w:r>
      <w:r w:rsidRPr="00047998">
        <w:t xml:space="preserve"> 2013), and</w:t>
      </w:r>
      <w:r>
        <w:t xml:space="preserve">, only to a certain degree, across legal systems (e.g. Cheng &amp; Cheng 2014, </w:t>
      </w:r>
      <w:r w:rsidRPr="004C201B">
        <w:t>Goźdź-Roszkowski</w:t>
      </w:r>
      <w:r>
        <w:t xml:space="preserve"> 2017), as well as, to a limited extent, </w:t>
      </w:r>
      <w:r w:rsidRPr="00A00545">
        <w:t xml:space="preserve">based </w:t>
      </w:r>
      <w:r>
        <w:t xml:space="preserve">on AGs’ opinions written in English (e.g. </w:t>
      </w:r>
      <w:proofErr w:type="spellStart"/>
      <w:r>
        <w:t>Szczyrbak</w:t>
      </w:r>
      <w:proofErr w:type="spellEnd"/>
      <w:r>
        <w:t xml:space="preserve"> 2017).</w:t>
      </w:r>
    </w:p>
    <w:p w14:paraId="4374B4EC" w14:textId="47F67971" w:rsidR="007A487A" w:rsidRDefault="007A487A" w:rsidP="007A487A">
      <w:pPr>
        <w:spacing w:line="276" w:lineRule="auto"/>
      </w:pPr>
      <w:r w:rsidRPr="00A00545">
        <w:t xml:space="preserve">The study uses corpus methods, along with a manual qualitative analysis of selected evaluative linguistic devices and their </w:t>
      </w:r>
      <w:r>
        <w:t>context</w:t>
      </w:r>
      <w:r w:rsidRPr="00A00545">
        <w:t xml:space="preserve">. The comparable corpus </w:t>
      </w:r>
      <w:r>
        <w:t xml:space="preserve">of judicial texts </w:t>
      </w:r>
      <w:r w:rsidRPr="00A00545">
        <w:t xml:space="preserve">is made up of </w:t>
      </w:r>
      <w:r>
        <w:t>four</w:t>
      </w:r>
      <w:r w:rsidRPr="00A00545">
        <w:t xml:space="preserve"> subcorpora: English language versions of AGs’ opinions</w:t>
      </w:r>
      <w:r>
        <w:t xml:space="preserve">, </w:t>
      </w:r>
      <w:r w:rsidRPr="00A00545">
        <w:t>English language versions of CJEU judgments issued following an AG</w:t>
      </w:r>
      <w:r>
        <w:t>’s</w:t>
      </w:r>
      <w:r w:rsidRPr="00A00545">
        <w:t xml:space="preserve"> opinion</w:t>
      </w:r>
      <w:r>
        <w:t xml:space="preserve">, Polish </w:t>
      </w:r>
      <w:r w:rsidRPr="00A00545">
        <w:t>language versions of AGs’ opinions</w:t>
      </w:r>
      <w:r>
        <w:t xml:space="preserve">, and Polish </w:t>
      </w:r>
      <w:r w:rsidRPr="00A00545">
        <w:t>language versions of CJEU judgments issued following an AG</w:t>
      </w:r>
      <w:r>
        <w:t>’s</w:t>
      </w:r>
      <w:r w:rsidRPr="00A00545">
        <w:t xml:space="preserve"> opinion. The reference corpus</w:t>
      </w:r>
      <w:r>
        <w:t>, which</w:t>
      </w:r>
      <w:r w:rsidRPr="00A00545">
        <w:t xml:space="preserve"> a</w:t>
      </w:r>
      <w:r>
        <w:t>cts as a reference for</w:t>
      </w:r>
      <w:r w:rsidRPr="00A00545">
        <w:t xml:space="preserve"> translated </w:t>
      </w:r>
      <w:r>
        <w:t>English and Polish</w:t>
      </w:r>
      <w:r w:rsidRPr="00A00545">
        <w:t xml:space="preserve"> </w:t>
      </w:r>
      <w:r>
        <w:t xml:space="preserve">judicial language, is made up of </w:t>
      </w:r>
      <w:r w:rsidRPr="00A00545">
        <w:t xml:space="preserve">UK Supreme Court Judgments (UKSC) which </w:t>
      </w:r>
      <w:r>
        <w:t>represent</w:t>
      </w:r>
      <w:r w:rsidRPr="00A00545">
        <w:t xml:space="preserve"> non-translated English </w:t>
      </w:r>
      <w:r>
        <w:t>judicial language, and judgments issued by the Polish Supreme Court (PLSC)</w:t>
      </w:r>
      <w:r w:rsidRPr="00A00545">
        <w:t xml:space="preserve"> which </w:t>
      </w:r>
      <w:r>
        <w:t xml:space="preserve">represent </w:t>
      </w:r>
      <w:r w:rsidRPr="00A00545">
        <w:t xml:space="preserve">non-translated </w:t>
      </w:r>
      <w:r>
        <w:t>Polish</w:t>
      </w:r>
      <w:r w:rsidRPr="00A00545">
        <w:t xml:space="preserve"> </w:t>
      </w:r>
      <w:r>
        <w:t>judicial language</w:t>
      </w:r>
      <w:r w:rsidRPr="00A00545">
        <w:t xml:space="preserve">. </w:t>
      </w:r>
      <w:r w:rsidRPr="00D24A82">
        <w:t>The comparable corpora of judgments are repre</w:t>
      </w:r>
      <w:r w:rsidRPr="00D24A82">
        <w:lastRenderedPageBreak/>
        <w:t>sentative of the respective judicial varieties of legal language</w:t>
      </w:r>
      <w:r>
        <w:t>;</w:t>
      </w:r>
      <w:r w:rsidRPr="00D24A82">
        <w:t xml:space="preserve"> </w:t>
      </w:r>
      <w:r>
        <w:t>CJ</w:t>
      </w:r>
      <w:r w:rsidRPr="00D24A82">
        <w:t xml:space="preserve">EU </w:t>
      </w:r>
      <w:r>
        <w:t xml:space="preserve">and PLSC </w:t>
      </w:r>
      <w:r w:rsidRPr="00D24A82">
        <w:t xml:space="preserve">judgments exemplify the civil law legal tradition, whereas </w:t>
      </w:r>
      <w:r>
        <w:t>UKSC</w:t>
      </w:r>
      <w:r w:rsidRPr="00D24A82">
        <w:t xml:space="preserve"> judgments are representative of the common law legal tradition.</w:t>
      </w:r>
      <w:r>
        <w:t xml:space="preserve"> The findings generally confirm the high reliance on evaluative devices by judges. There are, however, intra-generic and inter-systemic differences in the patterning of evaluative language, as translated CJEU legal texts deviate from non-translated language of UKSC and PLSC judgments. This contributes to the divergent textual fit to comparable non-translated texts.</w:t>
      </w:r>
      <w:r w:rsidRPr="00A00545">
        <w:t xml:space="preserve"> </w:t>
      </w:r>
      <w:r>
        <w:t>Overall, t</w:t>
      </w:r>
      <w:r w:rsidRPr="00A00545">
        <w:t xml:space="preserve">he study </w:t>
      </w:r>
      <w:r>
        <w:t>contributes</w:t>
      </w:r>
      <w:r w:rsidRPr="00A00545">
        <w:t xml:space="preserve"> to the linguistic, corpus-assisted study of evaluation </w:t>
      </w:r>
      <w:r>
        <w:t>in the</w:t>
      </w:r>
      <w:r w:rsidRPr="00A00545">
        <w:t xml:space="preserve"> judicial</w:t>
      </w:r>
      <w:r>
        <w:t xml:space="preserve"> variety of legal</w:t>
      </w:r>
      <w:r w:rsidRPr="00A00545">
        <w:t xml:space="preserve"> language.</w:t>
      </w:r>
    </w:p>
    <w:p w14:paraId="0BFA841F" w14:textId="77777777" w:rsidR="00AB181E" w:rsidRDefault="00224AA6">
      <w:pPr>
        <w:pStyle w:val="Wykazrde"/>
      </w:pPr>
      <w:r>
        <w:t>References</w:t>
      </w:r>
    </w:p>
    <w:p w14:paraId="444ABCA6" w14:textId="77777777" w:rsidR="00F9419A" w:rsidRPr="00F9419A" w:rsidRDefault="00F9419A" w:rsidP="00F9419A">
      <w:pPr>
        <w:spacing w:before="0" w:line="240" w:lineRule="auto"/>
        <w:ind w:left="720" w:hanging="720"/>
        <w:rPr>
          <w:sz w:val="19"/>
          <w:szCs w:val="19"/>
        </w:rPr>
      </w:pPr>
      <w:r w:rsidRPr="00F9419A">
        <w:rPr>
          <w:sz w:val="19"/>
          <w:szCs w:val="19"/>
        </w:rPr>
        <w:t>Biel, Łucja (2014): Lost in the Eurofog. The Textual Fit of Translated</w:t>
      </w:r>
      <w:r w:rsidRPr="00F9419A">
        <w:rPr>
          <w:i/>
          <w:iCs/>
          <w:sz w:val="19"/>
          <w:szCs w:val="19"/>
        </w:rPr>
        <w:t xml:space="preserve"> </w:t>
      </w:r>
      <w:r w:rsidRPr="00F9419A">
        <w:rPr>
          <w:sz w:val="19"/>
          <w:szCs w:val="19"/>
        </w:rPr>
        <w:t>Law. Frankfurt am Main: Peter Lang.</w:t>
      </w:r>
    </w:p>
    <w:p w14:paraId="0233FCB5" w14:textId="77777777" w:rsidR="00F9419A" w:rsidRPr="00F9419A" w:rsidRDefault="00F9419A" w:rsidP="00F9419A">
      <w:pPr>
        <w:spacing w:before="0" w:line="240" w:lineRule="auto"/>
        <w:ind w:left="720" w:hanging="720"/>
        <w:rPr>
          <w:sz w:val="19"/>
          <w:szCs w:val="19"/>
        </w:rPr>
      </w:pPr>
      <w:r w:rsidRPr="00F9419A">
        <w:rPr>
          <w:sz w:val="19"/>
          <w:szCs w:val="19"/>
        </w:rPr>
        <w:t>Biel, Łucja/Koźbiał, Dariusz/Müller, Dariusz (2021): The judicial English Eurolect: A genre profiling of CJEU judgments. In: Goźdź-Roszkowski, Stanisław/Pontrandolfo, Gianluca (eds.), Law, Language and the Courtroom. Routledge, pp. 3–25.</w:t>
      </w:r>
    </w:p>
    <w:p w14:paraId="1F725B69" w14:textId="77777777" w:rsidR="00F9419A" w:rsidRPr="00F9419A" w:rsidRDefault="00F9419A" w:rsidP="00F9419A">
      <w:pPr>
        <w:spacing w:before="0" w:line="240" w:lineRule="auto"/>
        <w:ind w:left="720" w:hanging="720"/>
        <w:rPr>
          <w:sz w:val="19"/>
          <w:szCs w:val="19"/>
        </w:rPr>
      </w:pPr>
      <w:r w:rsidRPr="00F9419A">
        <w:rPr>
          <w:sz w:val="19"/>
          <w:szCs w:val="19"/>
        </w:rPr>
        <w:t>Cheng, Winnie/Cheng, Le (2014): Epistemic modality in court judgments: A corpus-driven comparison of civil cases in Hong Kong and Scotland. In: English for Specific Purposes, 33, pp. 15–26.</w:t>
      </w:r>
    </w:p>
    <w:p w14:paraId="012992B5" w14:textId="77777777" w:rsidR="00F9419A" w:rsidRPr="00F9419A" w:rsidRDefault="00F9419A" w:rsidP="00F9419A">
      <w:pPr>
        <w:spacing w:before="0" w:line="240" w:lineRule="auto"/>
        <w:ind w:left="720" w:hanging="720"/>
        <w:rPr>
          <w:sz w:val="19"/>
          <w:szCs w:val="19"/>
        </w:rPr>
      </w:pPr>
      <w:r w:rsidRPr="00F9419A">
        <w:rPr>
          <w:sz w:val="19"/>
          <w:szCs w:val="19"/>
        </w:rPr>
        <w:t>Goźdź-Roszkowski, Stanisław (2017): Signalling sites of contention in judicial discourse. An exploratory corpus-based analysis of selected stance nouns in US Supreme Court Opinions and Poland’s Constitutional Tribunal Judgments. In: Comparative Legilinguistics, 32, pp. 91–117.</w:t>
      </w:r>
    </w:p>
    <w:p w14:paraId="32EDDFC7" w14:textId="77777777" w:rsidR="00F9419A" w:rsidRPr="00F9419A" w:rsidRDefault="00F9419A" w:rsidP="00F9419A">
      <w:pPr>
        <w:spacing w:before="0" w:line="240" w:lineRule="auto"/>
        <w:ind w:left="720" w:hanging="720"/>
        <w:rPr>
          <w:sz w:val="19"/>
          <w:szCs w:val="19"/>
        </w:rPr>
      </w:pPr>
      <w:r w:rsidRPr="00F9419A">
        <w:rPr>
          <w:sz w:val="19"/>
          <w:szCs w:val="19"/>
        </w:rPr>
        <w:t>Goźdź-Roszkowski, Stanisław (2022): Evaluative Language in Legal Professional Practice: The Case of Justification of Judicial Decisions. In: Language Use, Education, and Professional Contexts, pp. 3–20. Cham: Springer International Publishing.</w:t>
      </w:r>
    </w:p>
    <w:p w14:paraId="6AAEADB5" w14:textId="77777777" w:rsidR="00F9419A" w:rsidRPr="00F9419A" w:rsidRDefault="00F9419A" w:rsidP="00F9419A">
      <w:pPr>
        <w:spacing w:before="0" w:line="240" w:lineRule="auto"/>
        <w:ind w:left="720" w:hanging="720"/>
        <w:rPr>
          <w:sz w:val="19"/>
          <w:szCs w:val="19"/>
        </w:rPr>
      </w:pPr>
      <w:r w:rsidRPr="00F9419A">
        <w:rPr>
          <w:sz w:val="19"/>
          <w:szCs w:val="19"/>
        </w:rPr>
        <w:t>Goźdź-Roszkowski, Stanisław/Pontrandolfo, Gianluca (2013): Evaluative Patterns in Judicial Discourse: A Corpus-Based Phraseological Perspective on American and Italian Criminal Judgments. In: International Journal of Law, Language and Discourse, 3(2), pp. 9–69.</w:t>
      </w:r>
    </w:p>
    <w:p w14:paraId="4A4AEAFB" w14:textId="77777777" w:rsidR="00F9419A" w:rsidRPr="00F9419A" w:rsidRDefault="00F9419A" w:rsidP="00F9419A">
      <w:pPr>
        <w:spacing w:before="0" w:line="240" w:lineRule="auto"/>
        <w:ind w:left="720" w:hanging="720"/>
        <w:rPr>
          <w:sz w:val="19"/>
          <w:szCs w:val="19"/>
        </w:rPr>
      </w:pPr>
      <w:proofErr w:type="spellStart"/>
      <w:r w:rsidRPr="00F9419A">
        <w:rPr>
          <w:sz w:val="19"/>
          <w:szCs w:val="19"/>
        </w:rPr>
        <w:t>Hunston</w:t>
      </w:r>
      <w:proofErr w:type="spellEnd"/>
      <w:r w:rsidRPr="00F9419A">
        <w:rPr>
          <w:sz w:val="19"/>
          <w:szCs w:val="19"/>
        </w:rPr>
        <w:t xml:space="preserve">, Susan (2007): Using a corpus to investigate stance quantitatively and qualitatively. In: </w:t>
      </w:r>
      <w:proofErr w:type="spellStart"/>
      <w:r w:rsidRPr="00F9419A">
        <w:rPr>
          <w:sz w:val="19"/>
          <w:szCs w:val="19"/>
        </w:rPr>
        <w:t>Englebretson</w:t>
      </w:r>
      <w:proofErr w:type="spellEnd"/>
      <w:r w:rsidRPr="00F9419A">
        <w:rPr>
          <w:sz w:val="19"/>
          <w:szCs w:val="19"/>
        </w:rPr>
        <w:t xml:space="preserve">, Robert (ed.), </w:t>
      </w:r>
      <w:proofErr w:type="spellStart"/>
      <w:r w:rsidRPr="00F9419A">
        <w:rPr>
          <w:sz w:val="19"/>
          <w:szCs w:val="19"/>
        </w:rPr>
        <w:t>Stancetaking</w:t>
      </w:r>
      <w:proofErr w:type="spellEnd"/>
      <w:r w:rsidRPr="00F9419A">
        <w:rPr>
          <w:sz w:val="19"/>
          <w:szCs w:val="19"/>
        </w:rPr>
        <w:t xml:space="preserve"> in discourse. John Benjamins.</w:t>
      </w:r>
    </w:p>
    <w:p w14:paraId="372588D5" w14:textId="77777777" w:rsidR="00F9419A" w:rsidRPr="00F9419A" w:rsidRDefault="00F9419A" w:rsidP="00F9419A">
      <w:pPr>
        <w:spacing w:before="0" w:line="240" w:lineRule="auto"/>
        <w:ind w:left="720" w:hanging="720"/>
        <w:rPr>
          <w:sz w:val="19"/>
          <w:szCs w:val="19"/>
        </w:rPr>
      </w:pPr>
      <w:r w:rsidRPr="00F9419A">
        <w:rPr>
          <w:sz w:val="19"/>
          <w:szCs w:val="19"/>
        </w:rPr>
        <w:t>Koźbiał, Dariusz (2020a): Epistemic modality: a corpus-based analysis of epistemic markers in EU and Polish judgments. In: Comparative Legilinguistics, 41(1), pp. 39–70.</w:t>
      </w:r>
    </w:p>
    <w:p w14:paraId="35FF3191" w14:textId="77777777" w:rsidR="00F9419A" w:rsidRPr="00F9419A" w:rsidRDefault="00F9419A" w:rsidP="00F9419A">
      <w:pPr>
        <w:spacing w:before="0" w:line="240" w:lineRule="auto"/>
        <w:ind w:left="720" w:hanging="720"/>
        <w:rPr>
          <w:sz w:val="19"/>
          <w:szCs w:val="19"/>
        </w:rPr>
      </w:pPr>
      <w:r w:rsidRPr="00F9419A">
        <w:rPr>
          <w:sz w:val="19"/>
          <w:szCs w:val="19"/>
        </w:rPr>
        <w:t xml:space="preserve">Koźbiał, Dariusz (2020b): </w:t>
      </w:r>
      <w:r w:rsidRPr="00F9419A">
        <w:rPr>
          <w:i/>
          <w:iCs/>
          <w:sz w:val="19"/>
          <w:szCs w:val="19"/>
        </w:rPr>
        <w:t>The Language of EU and Polish Judges: Investigating Textual Fit through Corpus Methods</w:t>
      </w:r>
      <w:r w:rsidRPr="00F9419A">
        <w:rPr>
          <w:sz w:val="19"/>
          <w:szCs w:val="19"/>
        </w:rPr>
        <w:t>. Berlin: Peter Lang.</w:t>
      </w:r>
    </w:p>
    <w:p w14:paraId="1A1D4784" w14:textId="77777777" w:rsidR="00F9419A" w:rsidRPr="00F9419A" w:rsidRDefault="00F9419A" w:rsidP="00F9419A">
      <w:pPr>
        <w:spacing w:before="0" w:line="240" w:lineRule="auto"/>
        <w:ind w:left="720" w:hanging="720"/>
        <w:rPr>
          <w:sz w:val="19"/>
          <w:szCs w:val="19"/>
        </w:rPr>
      </w:pPr>
      <w:proofErr w:type="spellStart"/>
      <w:r w:rsidRPr="00F9419A">
        <w:rPr>
          <w:sz w:val="19"/>
          <w:szCs w:val="19"/>
        </w:rPr>
        <w:t>Mazzi</w:t>
      </w:r>
      <w:proofErr w:type="spellEnd"/>
      <w:r w:rsidRPr="00F9419A">
        <w:rPr>
          <w:sz w:val="19"/>
          <w:szCs w:val="19"/>
        </w:rPr>
        <w:t>, Davide (2010): “This argument fails for two reasons…”: A linguistic analysis of judicial evaluation strategies in US Supreme Court judgments. In: International Journal for the Semiotics of Law, 23, pp. 373–385.</w:t>
      </w:r>
    </w:p>
    <w:p w14:paraId="042CC33D" w14:textId="704D6380" w:rsidR="00F9419A" w:rsidRDefault="00F9419A" w:rsidP="00F9419A">
      <w:pPr>
        <w:pStyle w:val="Literaturverzeichnis1"/>
        <w:spacing w:line="240" w:lineRule="auto"/>
        <w:ind w:left="397" w:hanging="397"/>
      </w:pPr>
      <w:proofErr w:type="spellStart"/>
      <w:r w:rsidRPr="00F265C6">
        <w:t>Szczyrbak</w:t>
      </w:r>
      <w:proofErr w:type="spellEnd"/>
      <w:r w:rsidRPr="00F265C6">
        <w:t>, Magdalena (2017): Modal adverbs of certainty in the rhetoric of Advocates General: A dialogic view. In: Topics in Linguistics, 18(1), pp. 48–58.</w:t>
      </w:r>
    </w:p>
    <w:p w14:paraId="42872D30" w14:textId="77777777" w:rsidR="00AB181E" w:rsidRDefault="00224AA6">
      <w:pPr>
        <w:pStyle w:val="Nagwek1"/>
      </w:pPr>
      <w:r>
        <w:t>Contact information</w:t>
      </w:r>
    </w:p>
    <w:p w14:paraId="0404047F" w14:textId="3DA81599" w:rsidR="00AB181E" w:rsidRDefault="00EB6211">
      <w:r>
        <w:rPr>
          <w:rStyle w:val="Pogrubienie"/>
        </w:rPr>
        <w:t>Dariusz Koźbiał</w:t>
      </w:r>
    </w:p>
    <w:p w14:paraId="292D4079" w14:textId="5ADE4321" w:rsidR="00AB181E" w:rsidRDefault="00EB6211">
      <w:r>
        <w:t>Institute of Applied Linguistics, University of Warsaw</w:t>
      </w:r>
    </w:p>
    <w:p w14:paraId="480F2E9C" w14:textId="11E0EB25" w:rsidR="00AB181E" w:rsidRDefault="00EB6211">
      <w:r>
        <w:t xml:space="preserve">d.kozbial@uw.edu.pl </w:t>
      </w:r>
    </w:p>
    <w:p w14:paraId="097BE98C" w14:textId="77777777" w:rsidR="00AB181E" w:rsidRDefault="00AB181E">
      <w:pPr>
        <w:pStyle w:val="Literaturverzeichnis1"/>
        <w:ind w:left="0" w:firstLine="0"/>
      </w:pPr>
    </w:p>
    <w:p w14:paraId="71BB4F49" w14:textId="77777777" w:rsidR="00AB181E" w:rsidRDefault="00AB181E">
      <w:pPr>
        <w:pStyle w:val="Literaturverzeichnis1"/>
        <w:ind w:left="0" w:firstLine="0"/>
      </w:pPr>
    </w:p>
    <w:sectPr w:rsidR="00AB181E">
      <w:footerReference w:type="default" r:id="rId7"/>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EAA4E" w14:textId="77777777" w:rsidR="008A3F02" w:rsidRDefault="008A3F02">
      <w:pPr>
        <w:spacing w:before="0" w:line="240" w:lineRule="auto"/>
      </w:pPr>
      <w:r>
        <w:separator/>
      </w:r>
    </w:p>
  </w:endnote>
  <w:endnote w:type="continuationSeparator" w:id="0">
    <w:p w14:paraId="2CBE1E75" w14:textId="77777777" w:rsidR="008A3F02" w:rsidRDefault="008A3F0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49A3CED-B639-4802-A3C5-E0CFCBC51626}"/>
    <w:embedBold r:id="rId2" w:fontKey="{2F11347B-6484-46D3-99CF-B483332B532D}"/>
    <w:embedItalic r:id="rId3" w:fontKey="{8D41A3B1-77ED-476D-A1B6-77111586821B}"/>
  </w:font>
  <w:font w:name="Tahoma">
    <w:panose1 w:val="020B0604030504040204"/>
    <w:charset w:val="00"/>
    <w:family w:val="swiss"/>
    <w:pitch w:val="variable"/>
    <w:sig w:usb0="E1002EFF" w:usb1="C000605B" w:usb2="00000029" w:usb3="00000000" w:csb0="000101FF" w:csb1="00000000"/>
    <w:embedRegular r:id="rId4" w:fontKey="{9B9524DB-C7E6-4FCC-8F02-225FA1B09F97}"/>
    <w:embedBold r:id="rId5" w:fontKey="{6364C30D-FA24-4C07-B91E-70A304D7228A}"/>
    <w:embedItalic r:id="rId6" w:fontKey="{88CF7D60-4226-42B8-8379-D3A8855B980B}"/>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Fira Sans"/>
    <w:charset w:val="00"/>
    <w:family w:val="swiss"/>
    <w:pitch w:val="variable"/>
    <w:sig w:usb0="600002FF" w:usb1="00000001" w:usb2="00000000" w:usb3="00000000" w:csb0="0000019F" w:csb1="00000000"/>
    <w:embedRegular r:id="rId7" w:fontKey="{0C1EA962-CE5F-4231-9FAE-85F3B3759F58}"/>
    <w:embedBold r:id="rId8" w:fontKey="{63820FB4-77EF-4593-BCF3-DDEDDC74A99D}"/>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FCAE89F6-680D-4AB2-8E38-321A26FAA804}"/>
  </w:font>
  <w:font w:name="Liberation Sans">
    <w:altName w:val="Arial"/>
    <w:charset w:val="00"/>
    <w:family w:val="swiss"/>
    <w:pitch w:val="variable"/>
    <w:sig w:usb0="E0000AFF" w:usb1="500078FF" w:usb2="00000021" w:usb3="00000000" w:csb0="000001BF" w:csb1="00000000"/>
    <w:embedBold r:id="rId10" w:fontKey="{31FB9436-62CF-4101-AAE2-69F44ED93C2E}"/>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84A92799-7E13-4C48-856A-A0B06FE306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527E" w14:textId="77777777" w:rsidR="00AB181E" w:rsidRDefault="00224AA6" w:rsidP="00694682">
    <w:pPr>
      <w:pStyle w:val="Stopka"/>
      <w:jc w:val="right"/>
    </w:pPr>
    <w:r>
      <w:rPr>
        <w:rStyle w:val="Numerstrony"/>
        <w:rFonts w:cs="Libertinus Serif"/>
      </w:rPr>
      <w:fldChar w:fldCharType="begin"/>
    </w:r>
    <w:r>
      <w:rPr>
        <w:rStyle w:val="Numerstrony"/>
        <w:rFonts w:cs="Libertinus Serif"/>
      </w:rPr>
      <w:instrText xml:space="preserve"> PAGE </w:instrText>
    </w:r>
    <w:r>
      <w:rPr>
        <w:rStyle w:val="Numerstrony"/>
        <w:rFonts w:cs="Libertinus Serif"/>
      </w:rPr>
      <w:fldChar w:fldCharType="separate"/>
    </w:r>
    <w:r w:rsidR="004C5262">
      <w:rPr>
        <w:rStyle w:val="Numerstrony"/>
        <w:rFonts w:cs="Libertinus Serif"/>
        <w:noProof/>
      </w:rPr>
      <w:t>3</w:t>
    </w:r>
    <w:r>
      <w:rPr>
        <w:rStyle w:val="Numerstrony"/>
        <w:rFonts w:cs="Libertinus Serif"/>
      </w:rPr>
      <w:fldChar w:fldCharType="end"/>
    </w:r>
  </w:p>
  <w:p w14:paraId="665E7952" w14:textId="77777777" w:rsidR="00AB181E" w:rsidRDefault="00AB181E">
    <w:pPr>
      <w:pStyle w:val="Stopka"/>
    </w:pPr>
  </w:p>
  <w:p w14:paraId="51613EEA"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34143" w14:textId="77777777" w:rsidR="008A3F02" w:rsidRDefault="008A3F02">
      <w:pPr>
        <w:rPr>
          <w:sz w:val="12"/>
        </w:rPr>
      </w:pPr>
      <w:r>
        <w:separator/>
      </w:r>
    </w:p>
  </w:footnote>
  <w:footnote w:type="continuationSeparator" w:id="0">
    <w:p w14:paraId="07027575" w14:textId="77777777" w:rsidR="008A3F02" w:rsidRDefault="008A3F02">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182C5A"/>
    <w:rsid w:val="00224AA6"/>
    <w:rsid w:val="00227F60"/>
    <w:rsid w:val="0034318A"/>
    <w:rsid w:val="00354E98"/>
    <w:rsid w:val="0045632D"/>
    <w:rsid w:val="00477A05"/>
    <w:rsid w:val="004915AD"/>
    <w:rsid w:val="004C5262"/>
    <w:rsid w:val="00604B7E"/>
    <w:rsid w:val="00694682"/>
    <w:rsid w:val="00717483"/>
    <w:rsid w:val="007A487A"/>
    <w:rsid w:val="008A3F02"/>
    <w:rsid w:val="009B2F6E"/>
    <w:rsid w:val="009D4AD9"/>
    <w:rsid w:val="00A54BA3"/>
    <w:rsid w:val="00AB181E"/>
    <w:rsid w:val="00B0489F"/>
    <w:rsid w:val="00B13D4A"/>
    <w:rsid w:val="00B22F8E"/>
    <w:rsid w:val="00BB5CD4"/>
    <w:rsid w:val="00BC3258"/>
    <w:rsid w:val="00BD4A97"/>
    <w:rsid w:val="00C425D1"/>
    <w:rsid w:val="00D227B7"/>
    <w:rsid w:val="00D61AF9"/>
    <w:rsid w:val="00D77A92"/>
    <w:rsid w:val="00DB1137"/>
    <w:rsid w:val="00EB6211"/>
    <w:rsid w:val="00EC5098"/>
    <w:rsid w:val="00F47A0D"/>
    <w:rsid w:val="00F9419A"/>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CEE5"/>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val="0"/>
      <w:spacing w:before="113" w:line="280" w:lineRule="exact"/>
      <w:jc w:val="both"/>
    </w:pPr>
    <w:rPr>
      <w:rFonts w:ascii="Libertinus Serif" w:hAnsi="Libertinus Serif"/>
    </w:rPr>
  </w:style>
  <w:style w:type="paragraph" w:styleId="Nagwek1">
    <w:name w:val="heading 1"/>
    <w:basedOn w:val="Normalny"/>
    <w:next w:val="Normalny"/>
    <w:link w:val="Nagwek1Znak"/>
    <w:qFormat/>
    <w:pPr>
      <w:keepNext/>
      <w:keepLines/>
      <w:spacing w:before="340" w:after="113" w:line="360" w:lineRule="exact"/>
      <w:outlineLvl w:val="0"/>
    </w:pPr>
    <w:rPr>
      <w:rFonts w:ascii="Fira Sans" w:hAnsi="Fira Sans"/>
      <w:b/>
      <w:color w:val="4FAF4A"/>
      <w:sz w:val="28"/>
      <w:szCs w:val="32"/>
    </w:rPr>
  </w:style>
  <w:style w:type="paragraph" w:styleId="Nagwek2">
    <w:name w:val="heading 2"/>
    <w:basedOn w:val="Normalny"/>
    <w:next w:val="Normalny"/>
    <w:link w:val="Nagwek2Znak"/>
    <w:qFormat/>
    <w:pPr>
      <w:keepNext/>
      <w:keepLines/>
      <w:spacing w:before="340" w:after="113" w:line="340" w:lineRule="exact"/>
      <w:outlineLvl w:val="1"/>
    </w:pPr>
    <w:rPr>
      <w:rFonts w:ascii="Fira Sans" w:hAnsi="Fira Sans"/>
      <w:b/>
      <w:color w:val="4FAF4A"/>
      <w:sz w:val="26"/>
      <w:szCs w:val="26"/>
    </w:rPr>
  </w:style>
  <w:style w:type="paragraph" w:styleId="Nagwek3">
    <w:name w:val="heading 3"/>
    <w:basedOn w:val="Normalny"/>
    <w:next w:val="Normalny"/>
    <w:link w:val="Nagwek3Znak"/>
    <w:qFormat/>
    <w:pPr>
      <w:keepNext/>
      <w:keepLines/>
      <w:spacing w:before="227" w:after="113" w:line="320" w:lineRule="exact"/>
      <w:outlineLvl w:val="2"/>
    </w:pPr>
    <w:rPr>
      <w:rFonts w:ascii="Fira Sans" w:hAnsi="Fira Sans"/>
      <w:color w:val="4FAF4A"/>
      <w:sz w:val="24"/>
      <w:szCs w:val="24"/>
    </w:rPr>
  </w:style>
  <w:style w:type="paragraph" w:styleId="Nagwek4">
    <w:name w:val="heading 4"/>
    <w:basedOn w:val="Normalny"/>
    <w:next w:val="Normalny"/>
    <w:link w:val="Nagwek4Znak"/>
    <w:qFormat/>
    <w:pPr>
      <w:keepNext/>
      <w:keepLines/>
      <w:spacing w:before="227"/>
      <w:outlineLvl w:val="3"/>
    </w:pPr>
    <w:rPr>
      <w:rFonts w:ascii="Fira Sans" w:hAnsi="Fira Sans"/>
      <w:iCs/>
      <w:color w:val="4FAF4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Pr>
      <w:rFonts w:ascii="Fira Sans" w:eastAsia="Calibri" w:hAnsi="Fira Sans" w:cs="Tahoma"/>
      <w:b/>
      <w:color w:val="F79646"/>
      <w:sz w:val="28"/>
      <w:szCs w:val="32"/>
    </w:rPr>
  </w:style>
  <w:style w:type="character" w:customStyle="1" w:styleId="Nagwek2Znak">
    <w:name w:val="Nagłówek 2 Znak"/>
    <w:basedOn w:val="Domylnaczcionkaakapitu"/>
    <w:link w:val="Nagwek2"/>
    <w:qFormat/>
    <w:rPr>
      <w:rFonts w:ascii="Fira Sans" w:eastAsia="Calibri" w:hAnsi="Fira Sans" w:cs="Tahoma"/>
      <w:b/>
      <w:color w:val="F79646"/>
      <w:sz w:val="26"/>
      <w:szCs w:val="26"/>
    </w:rPr>
  </w:style>
  <w:style w:type="character" w:customStyle="1" w:styleId="Nagwek3Znak">
    <w:name w:val="Nagłówek 3 Znak"/>
    <w:basedOn w:val="Domylnaczcionkaakapitu"/>
    <w:link w:val="Nagwek3"/>
    <w:qFormat/>
    <w:rPr>
      <w:rFonts w:ascii="Fira Sans" w:eastAsia="Calibri" w:hAnsi="Fira Sans" w:cs="Tahoma"/>
      <w:color w:val="F79646"/>
      <w:sz w:val="24"/>
      <w:szCs w:val="24"/>
    </w:rPr>
  </w:style>
  <w:style w:type="character" w:customStyle="1" w:styleId="Nagwek4Znak">
    <w:name w:val="Nagłówek 4 Znak"/>
    <w:basedOn w:val="Domylnaczcionkaakapitu"/>
    <w:link w:val="Nagwek4"/>
    <w:qFormat/>
    <w:rPr>
      <w:rFonts w:ascii="Fira Sans" w:eastAsia="Calibri" w:hAnsi="Fira Sans" w:cs="Tahoma"/>
      <w:iCs/>
      <w:color w:val="F79646"/>
    </w:rPr>
  </w:style>
  <w:style w:type="character" w:customStyle="1" w:styleId="TytuZnak">
    <w:name w:val="Tytuł Znak"/>
    <w:basedOn w:val="Domylnaczcionkaakapitu"/>
    <w:link w:val="Tytu"/>
    <w:qFormat/>
    <w:rsid w:val="00227F60"/>
    <w:rPr>
      <w:rFonts w:ascii="Fira Sans" w:hAnsi="Fira Sans"/>
      <w:b/>
      <w:color w:val="4FAF4A"/>
      <w:sz w:val="38"/>
      <w:szCs w:val="56"/>
    </w:rPr>
  </w:style>
  <w:style w:type="character" w:styleId="Pogrubienie">
    <w:name w:val="Strong"/>
    <w:basedOn w:val="Domylnaczcionkaakapitu"/>
    <w:qFormat/>
    <w:rPr>
      <w:b/>
      <w:bCs/>
    </w:rPr>
  </w:style>
  <w:style w:type="character" w:styleId="Uwydatnienie">
    <w:name w:val="Emphasis"/>
    <w:basedOn w:val="Domylnaczcionkaakapitu"/>
    <w:qFormat/>
    <w:rPr>
      <w:i/>
      <w:iCs/>
    </w:rPr>
  </w:style>
  <w:style w:type="character" w:styleId="Wyrnienieintensywne">
    <w:name w:val="Intense Emphasis"/>
    <w:basedOn w:val="Domylnaczcionkaakapitu"/>
    <w:qFormat/>
    <w:rPr>
      <w:rFonts w:ascii="Libertinus Serif" w:hAnsi="Libertinus Serif"/>
      <w:b/>
      <w:bCs/>
      <w:i/>
      <w:iCs/>
      <w:color w:val="auto"/>
    </w:rPr>
  </w:style>
  <w:style w:type="character" w:customStyle="1" w:styleId="CytatZnak">
    <w:name w:val="Cytat Znak"/>
    <w:basedOn w:val="Domylnaczcionkaakapitu"/>
    <w:link w:val="Cytat"/>
    <w:qFormat/>
    <w:rPr>
      <w:rFonts w:ascii="Libertinus Serif" w:hAnsi="Libertinus Serif"/>
      <w:iCs/>
      <w:sz w:val="20"/>
    </w:rPr>
  </w:style>
  <w:style w:type="character" w:customStyle="1" w:styleId="PodtytuZnak">
    <w:name w:val="Podtytuł Znak"/>
    <w:basedOn w:val="Domylnaczcionkaakapitu"/>
    <w:link w:val="Podtytu"/>
    <w:qFormat/>
    <w:rsid w:val="004C5262"/>
    <w:rPr>
      <w:rFonts w:ascii="Fira Sans" w:hAnsi="Fira Sans"/>
      <w:b/>
      <w:color w:val="5A5A5A"/>
      <w:spacing w:val="16"/>
      <w:sz w:val="28"/>
    </w:rPr>
  </w:style>
  <w:style w:type="character" w:customStyle="1" w:styleId="NagwekZnak">
    <w:name w:val="Nagłówek Znak"/>
    <w:basedOn w:val="Domylnaczcionkaakapitu"/>
    <w:link w:val="Nagwek"/>
    <w:qFormat/>
    <w:rPr>
      <w:rFonts w:ascii="Times New Roman" w:hAnsi="Times New Roman"/>
      <w:sz w:val="24"/>
    </w:rPr>
  </w:style>
  <w:style w:type="character" w:customStyle="1" w:styleId="StopkaZnak">
    <w:name w:val="Stopka Znak"/>
    <w:basedOn w:val="Domylnaczcionkaakapitu"/>
    <w:link w:val="Stopka"/>
    <w:qFormat/>
    <w:rPr>
      <w:rFonts w:ascii="Times New Roman" w:hAnsi="Times New Roman"/>
      <w:sz w:val="24"/>
    </w:rPr>
  </w:style>
  <w:style w:type="character" w:customStyle="1" w:styleId="Funotenzeichen-Text">
    <w:name w:val="Fußnotenzeichen-Text"/>
    <w:qFormat/>
    <w:rPr>
      <w:vertAlign w:val="superscript"/>
    </w:rPr>
  </w:style>
  <w:style w:type="character" w:styleId="Hipercze">
    <w:name w:val="Hyperlink"/>
    <w:basedOn w:val="Domylnaczcionkaakapitu"/>
    <w:rPr>
      <w:color w:val="000080"/>
      <w:w w:val="100"/>
      <w:u w:val="thick" w:color="000080"/>
    </w:rPr>
  </w:style>
  <w:style w:type="character" w:styleId="Numerstrony">
    <w:name w:val="page number"/>
    <w:basedOn w:val="Domylnaczcionkaakapitu"/>
    <w:qFormat/>
  </w:style>
  <w:style w:type="character" w:customStyle="1" w:styleId="TekstprzypisudolnegoZnak">
    <w:name w:val="Tekst przypisu dolnego Znak"/>
    <w:basedOn w:val="Domylnaczcionkaakapitu"/>
    <w:link w:val="Tekstprzypisudolnego"/>
    <w:qFormat/>
    <w:rPr>
      <w:rFonts w:ascii="Times New Roman" w:hAnsi="Times New Roman"/>
      <w:sz w:val="20"/>
      <w:szCs w:val="20"/>
    </w:rPr>
  </w:style>
  <w:style w:type="character" w:customStyle="1" w:styleId="CytatintensywnyZnak">
    <w:name w:val="Cytat intensywny Znak"/>
    <w:basedOn w:val="Domylnaczcionkaakapitu"/>
    <w:link w:val="Cytatintensywny"/>
    <w:qFormat/>
    <w:rPr>
      <w:rFonts w:ascii="Libertinus Serif" w:hAnsi="Libertinus Serif"/>
      <w:bCs/>
      <w:sz w:val="20"/>
    </w:rPr>
  </w:style>
  <w:style w:type="character" w:customStyle="1" w:styleId="KapitlchenSmallCapital">
    <w:name w:val="Kapitälchen/Small Capital"/>
    <w:basedOn w:val="Domylnaczcionkaakapitu"/>
    <w:qFormat/>
    <w:rPr>
      <w:smallCaps/>
    </w:rPr>
  </w:style>
  <w:style w:type="character" w:customStyle="1" w:styleId="Aufzhlungszeichen1">
    <w:name w:val="Aufzählungszeichen1"/>
    <w:qFormat/>
    <w:rPr>
      <w:rFonts w:ascii="OpenSymbol" w:eastAsia="OpenSymbol" w:hAnsi="OpenSymbol" w:cs="OpenSymbol"/>
    </w:rPr>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TekstdymkaZnak">
    <w:name w:val="Tekst dymka Znak"/>
    <w:basedOn w:val="Domylnaczcionkaakapitu"/>
    <w:link w:val="Tekstdymka"/>
    <w:qFormat/>
    <w:rPr>
      <w:rFonts w:ascii="Tahoma" w:hAnsi="Tahoma" w:cs="Tahoma"/>
      <w:sz w:val="16"/>
      <w:szCs w:val="16"/>
    </w:rPr>
  </w:style>
  <w:style w:type="paragraph" w:customStyle="1" w:styleId="berschrift">
    <w:name w:val="Überschrift"/>
    <w:basedOn w:val="Nagwek1"/>
    <w:next w:val="Tekstpodstawowy"/>
    <w:qFormat/>
    <w:pPr>
      <w:spacing w:before="240" w:after="120"/>
    </w:pPr>
    <w:rPr>
      <w:rFonts w:ascii="Liberation Sans" w:eastAsia="Noto Sans CJK SC" w:hAnsi="Liberation Sans" w:cs="Droid Sans Devanagari"/>
      <w:szCs w:val="28"/>
    </w:rPr>
  </w:style>
  <w:style w:type="paragraph" w:styleId="Tekstpodstawowy">
    <w:name w:val="Body Text"/>
    <w:basedOn w:val="Normalny"/>
    <w:pPr>
      <w:spacing w:before="0" w:after="140" w:line="276" w:lineRule="auto"/>
    </w:pPr>
  </w:style>
  <w:style w:type="paragraph" w:styleId="Lista">
    <w:name w:val="List"/>
    <w:basedOn w:val="Tekstpodstawowy"/>
    <w:rPr>
      <w:rFonts w:cs="Droid Sans Devanagari"/>
    </w:rPr>
  </w:style>
  <w:style w:type="paragraph" w:styleId="Legenda">
    <w:name w:val="caption"/>
    <w:basedOn w:val="Normalny"/>
    <w:qFormat/>
    <w:pPr>
      <w:suppressLineNumbers/>
      <w:spacing w:after="227" w:line="232" w:lineRule="exact"/>
    </w:pPr>
    <w:rPr>
      <w:rFonts w:cs="Droid Sans Devanagari"/>
      <w:iCs/>
      <w:sz w:val="19"/>
      <w:szCs w:val="24"/>
    </w:rPr>
  </w:style>
  <w:style w:type="paragraph" w:customStyle="1" w:styleId="Verzeichnis">
    <w:name w:val="Verzeichnis"/>
    <w:basedOn w:val="Normalny"/>
    <w:qFormat/>
    <w:pPr>
      <w:suppressLineNumbers/>
    </w:pPr>
    <w:rPr>
      <w:rFonts w:cs="Droid Sans Devanagari"/>
    </w:rPr>
  </w:style>
  <w:style w:type="paragraph" w:styleId="Tytu">
    <w:name w:val="Title"/>
    <w:basedOn w:val="Normalny"/>
    <w:next w:val="Normalny"/>
    <w:link w:val="TytuZnak"/>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ytat">
    <w:name w:val="Quote"/>
    <w:basedOn w:val="Normalny"/>
    <w:next w:val="Normalny"/>
    <w:link w:val="CytatZnak"/>
    <w:qFormat/>
    <w:pPr>
      <w:spacing w:line="250" w:lineRule="exact"/>
      <w:ind w:left="794" w:right="794"/>
    </w:pPr>
    <w:rPr>
      <w:iCs/>
      <w:sz w:val="20"/>
    </w:rPr>
  </w:style>
  <w:style w:type="paragraph" w:styleId="Podtytu">
    <w:name w:val="Subtitle"/>
    <w:basedOn w:val="Normalny"/>
    <w:next w:val="Normalny"/>
    <w:link w:val="PodtytuZnak"/>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ytu"/>
    <w:qFormat/>
    <w:pPr>
      <w:spacing w:before="0" w:line="340" w:lineRule="exact"/>
    </w:pPr>
    <w:rPr>
      <w:b w:val="0"/>
      <w:color w:val="auto"/>
      <w:sz w:val="26"/>
    </w:rPr>
  </w:style>
  <w:style w:type="paragraph" w:styleId="Akapitzlist">
    <w:name w:val="List Paragraph"/>
    <w:basedOn w:val="Normalny"/>
    <w:qFormat/>
    <w:pPr>
      <w:tabs>
        <w:tab w:val="left" w:pos="0"/>
      </w:tabs>
      <w:ind w:left="284" w:hanging="284"/>
      <w:contextualSpacing/>
    </w:pPr>
  </w:style>
  <w:style w:type="paragraph" w:customStyle="1" w:styleId="Example">
    <w:name w:val="Example"/>
    <w:basedOn w:val="Normalny"/>
    <w:qFormat/>
    <w:rsid w:val="00A54BA3"/>
    <w:pPr>
      <w:numPr>
        <w:numId w:val="3"/>
      </w:numPr>
      <w:spacing w:before="57" w:after="57" w:line="240" w:lineRule="exact"/>
      <w:ind w:left="454" w:hanging="454"/>
    </w:pPr>
    <w:rPr>
      <w:sz w:val="20"/>
    </w:rPr>
  </w:style>
  <w:style w:type="paragraph" w:customStyle="1" w:styleId="Kopf-undFuzeile">
    <w:name w:val="Kopf- und Fußzeile"/>
    <w:basedOn w:val="Normalny"/>
    <w:qFormat/>
  </w:style>
  <w:style w:type="paragraph" w:styleId="Nagwek">
    <w:name w:val="header"/>
    <w:basedOn w:val="Normalny"/>
    <w:link w:val="NagwekZnak"/>
    <w:pPr>
      <w:tabs>
        <w:tab w:val="center" w:pos="4536"/>
        <w:tab w:val="right" w:pos="9072"/>
      </w:tabs>
      <w:spacing w:before="0" w:line="240" w:lineRule="auto"/>
    </w:pPr>
  </w:style>
  <w:style w:type="paragraph" w:styleId="Stopka">
    <w:name w:val="footer"/>
    <w:basedOn w:val="Normalny"/>
    <w:link w:val="StopkaZnak"/>
    <w:pPr>
      <w:tabs>
        <w:tab w:val="center" w:pos="4536"/>
        <w:tab w:val="right" w:pos="9072"/>
      </w:tabs>
      <w:spacing w:before="0" w:line="240" w:lineRule="auto"/>
    </w:pPr>
  </w:style>
  <w:style w:type="paragraph" w:customStyle="1" w:styleId="FunoteFootnote">
    <w:name w:val="Fußnote/Footnote"/>
    <w:basedOn w:val="Tekstprzypisudolnego"/>
    <w:qFormat/>
    <w:pPr>
      <w:tabs>
        <w:tab w:val="left" w:pos="283"/>
      </w:tabs>
      <w:spacing w:line="230" w:lineRule="atLeast"/>
      <w:ind w:left="284" w:hanging="284"/>
      <w:textAlignment w:val="center"/>
    </w:pPr>
    <w:rPr>
      <w:rFonts w:cs="Times New Roman"/>
    </w:rPr>
  </w:style>
  <w:style w:type="paragraph" w:styleId="Tekstprzypisudolnego">
    <w:name w:val="footnote text"/>
    <w:basedOn w:val="Normalny"/>
    <w:link w:val="TekstprzypisudolnegoZnak"/>
    <w:pPr>
      <w:spacing w:before="0" w:line="232" w:lineRule="exact"/>
      <w:ind w:left="283" w:hanging="283"/>
    </w:pPr>
    <w:rPr>
      <w:sz w:val="19"/>
      <w:szCs w:val="20"/>
    </w:rPr>
  </w:style>
  <w:style w:type="paragraph" w:customStyle="1" w:styleId="Keywords">
    <w:name w:val="Keywords"/>
    <w:basedOn w:val="Normalny"/>
    <w:qFormat/>
    <w:rPr>
      <w:sz w:val="20"/>
    </w:rPr>
  </w:style>
  <w:style w:type="paragraph" w:styleId="Cytatintensywny">
    <w:name w:val="Intense Quote"/>
    <w:basedOn w:val="Cytat"/>
    <w:next w:val="Normalny"/>
    <w:link w:val="CytatintensywnyZnak"/>
    <w:qFormat/>
    <w:rPr>
      <w:bCs/>
      <w:iCs w:val="0"/>
    </w:rPr>
  </w:style>
  <w:style w:type="paragraph" w:customStyle="1" w:styleId="ReferenceEntry">
    <w:name w:val="Reference Entry"/>
    <w:basedOn w:val="Normalny"/>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kstpodstawowy"/>
    <w:qFormat/>
    <w:pPr>
      <w:spacing w:after="0"/>
      <w:ind w:left="283" w:hanging="283"/>
    </w:pPr>
  </w:style>
  <w:style w:type="paragraph" w:customStyle="1" w:styleId="Tabelleninhalt">
    <w:name w:val="Tabelleninhalt"/>
    <w:basedOn w:val="Normalny"/>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Nagwekindeksu">
    <w:name w:val="index heading"/>
    <w:basedOn w:val="Nagwek1"/>
    <w:autoRedefine/>
  </w:style>
  <w:style w:type="paragraph" w:styleId="Wykazrde">
    <w:name w:val="table of authorities"/>
    <w:basedOn w:val="Nagwek1"/>
    <w:autoRedefine/>
    <w:pPr>
      <w:suppressLineNumbers/>
    </w:pPr>
  </w:style>
  <w:style w:type="paragraph" w:styleId="Zwrotpoegnalny">
    <w:name w:val="Closing"/>
    <w:basedOn w:val="berschrift"/>
    <w:next w:val="Tekstpodstawowy"/>
    <w:qFormat/>
    <w:pPr>
      <w:jc w:val="center"/>
    </w:pPr>
    <w:rPr>
      <w:bCs/>
      <w:szCs w:val="32"/>
    </w:rPr>
  </w:style>
  <w:style w:type="paragraph" w:styleId="Nagwekspisutreci">
    <w:name w:val="TOC Heading"/>
    <w:basedOn w:val="Nagwekindeksu"/>
  </w:style>
  <w:style w:type="paragraph" w:customStyle="1" w:styleId="Abbildungsindexberschriften">
    <w:name w:val="Abbildungsindex Überschriften"/>
    <w:basedOn w:val="Nagwekindeksu"/>
    <w:qFormat/>
  </w:style>
  <w:style w:type="paragraph" w:customStyle="1" w:styleId="OLtext">
    <w:name w:val="OL text"/>
    <w:basedOn w:val="Normalny"/>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ny"/>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ny"/>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kstdymka">
    <w:name w:val="Balloon Text"/>
    <w:basedOn w:val="Normalny"/>
    <w:link w:val="TekstdymkaZnak"/>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825</Words>
  <Characters>5116</Characters>
  <Application>Microsoft Office Word</Application>
  <DocSecurity>0</DocSecurity>
  <Lines>75</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Dariusz Kozbial</cp:lastModifiedBy>
  <cp:revision>27</cp:revision>
  <cp:lastPrinted>2023-03-11T11:57:00Z</cp:lastPrinted>
  <dcterms:created xsi:type="dcterms:W3CDTF">2023-03-12T06:57:00Z</dcterms:created>
  <dcterms:modified xsi:type="dcterms:W3CDTF">2023-06-01T22:15:00Z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