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81E" w:rsidRDefault="00B953BF" w:rsidP="00B953BF">
      <w:pPr>
        <w:pStyle w:val="Author"/>
      </w:pPr>
      <w:r>
        <w:t xml:space="preserve">Alina </w:t>
      </w:r>
      <w:proofErr w:type="spellStart"/>
      <w:r>
        <w:t>Tsikulina</w:t>
      </w:r>
      <w:proofErr w:type="spellEnd"/>
      <w:r>
        <w:t xml:space="preserve">, </w:t>
      </w:r>
      <w:proofErr w:type="spellStart"/>
      <w:r>
        <w:t>Fayssal</w:t>
      </w:r>
      <w:proofErr w:type="spellEnd"/>
      <w:r>
        <w:t xml:space="preserve"> </w:t>
      </w:r>
      <w:proofErr w:type="spellStart"/>
      <w:r>
        <w:t>Tayalati</w:t>
      </w:r>
      <w:proofErr w:type="spellEnd"/>
      <w:r>
        <w:t xml:space="preserve">, Efstathia </w:t>
      </w:r>
      <w:proofErr w:type="spellStart"/>
      <w:r>
        <w:t>Soroli</w:t>
      </w:r>
      <w:proofErr w:type="spellEnd"/>
    </w:p>
    <w:p w:rsidR="00AB181E" w:rsidRDefault="00DA602C">
      <w:pPr>
        <w:pStyle w:val="Titre"/>
      </w:pPr>
      <w:r>
        <w:t>English Tough constructions and their analogues in French and Russian: a parallel corpus investigation.</w:t>
      </w:r>
    </w:p>
    <w:p w:rsidR="00AB181E" w:rsidRDefault="00224AA6">
      <w:pPr>
        <w:pStyle w:val="Keywords"/>
        <w:jc w:val="left"/>
        <w:rPr>
          <w:szCs w:val="20"/>
        </w:rPr>
      </w:pPr>
      <w:r>
        <w:rPr>
          <w:b/>
          <w:szCs w:val="20"/>
        </w:rPr>
        <w:t>Keywords:</w:t>
      </w:r>
      <w:r w:rsidR="00DA602C">
        <w:rPr>
          <w:b/>
          <w:szCs w:val="20"/>
        </w:rPr>
        <w:t xml:space="preserve"> </w:t>
      </w:r>
      <w:r w:rsidR="00DA602C">
        <w:rPr>
          <w:szCs w:val="20"/>
        </w:rPr>
        <w:t>Corpus Linguistics, Tough constructions, Parallel Corpora, Semantics, Syntax, English, French, Russian</w:t>
      </w:r>
      <w:r>
        <w:rPr>
          <w:szCs w:val="20"/>
        </w:rPr>
        <w:t xml:space="preserve"> </w:t>
      </w:r>
    </w:p>
    <w:p w:rsidR="00DA602C" w:rsidRDefault="00DA602C" w:rsidP="00DA602C">
      <w:pPr>
        <w:pStyle w:val="Keywords"/>
        <w:jc w:val="left"/>
      </w:pPr>
      <w:r>
        <w:t xml:space="preserve">The languages of the world present great variability in form-to-meaning mappings. Such diversity comes out clearly when one examines how constructions are used. For instance, evaluative constructions involving Tough predicates (e.g., This road is difficult to cross) present atypical mappings and vary greatly across languages: in some languages (e.g., English/French), speakers typically use so-called tough constructions (TC) – constructions involving sentences in which the syntactic subject NP of the matrix is logically the missing object of an embedded non-finite verb (Chung 2001; </w:t>
      </w:r>
      <w:proofErr w:type="spellStart"/>
      <w:r>
        <w:t>Guérin</w:t>
      </w:r>
      <w:proofErr w:type="spellEnd"/>
      <w:r>
        <w:t xml:space="preserve"> 2006 but see Van de Velde 2020 on the functional alternatives French offers); in others such as Russian (RU) – a language without such syntactic property – speakers opt for a variety of functional analogues (e.g., impersonal constructions, use of passives, deverbals) (Comrie</w:t>
      </w:r>
      <w:r w:rsidR="001C5D78">
        <w:t>/</w:t>
      </w:r>
      <w:r>
        <w:t xml:space="preserve">Matthews 1990; </w:t>
      </w:r>
      <w:proofErr w:type="spellStart"/>
      <w:r>
        <w:t>Paykin</w:t>
      </w:r>
      <w:proofErr w:type="spellEnd"/>
      <w:r w:rsidR="001C5D78">
        <w:t>/</w:t>
      </w:r>
      <w:r>
        <w:t xml:space="preserve">Van </w:t>
      </w:r>
      <w:proofErr w:type="spellStart"/>
      <w:r>
        <w:t>Peteghem</w:t>
      </w:r>
      <w:proofErr w:type="spellEnd"/>
      <w:r>
        <w:t xml:space="preserve"> 2020). </w:t>
      </w:r>
    </w:p>
    <w:p w:rsidR="00DA602C" w:rsidRDefault="00DA602C" w:rsidP="00DA602C">
      <w:pPr>
        <w:pStyle w:val="Keywords"/>
        <w:jc w:val="left"/>
      </w:pPr>
      <w:r>
        <w:t>Despite a growing interest in TC asymmetries and this great crosslinguistic variability, little is still known about the involvement of the semantic aspects of such evaluative constructions (e.g., the scope of the adjective, the animacy of the involved NP, or the degree of transitivity of the non-finite verb) and their role in across- and within-language variation (Becker</w:t>
      </w:r>
      <w:r w:rsidR="00AA1436">
        <w:t>/</w:t>
      </w:r>
      <w:proofErr w:type="spellStart"/>
      <w:r>
        <w:t>Estigarribia</w:t>
      </w:r>
      <w:proofErr w:type="spellEnd"/>
      <w:r w:rsidR="001C5D78">
        <w:t>/</w:t>
      </w:r>
      <w:proofErr w:type="spellStart"/>
      <w:r>
        <w:t>Gylfadottir</w:t>
      </w:r>
      <w:proofErr w:type="spellEnd"/>
      <w:r>
        <w:t xml:space="preserve"> 2012; </w:t>
      </w:r>
      <w:proofErr w:type="spellStart"/>
      <w:r>
        <w:t>Boutault</w:t>
      </w:r>
      <w:proofErr w:type="spellEnd"/>
      <w:r>
        <w:t xml:space="preserve"> 2020; Kim 2014; </w:t>
      </w:r>
      <w:proofErr w:type="spellStart"/>
      <w:r>
        <w:t>Tayalati</w:t>
      </w:r>
      <w:proofErr w:type="spellEnd"/>
      <w:r w:rsidR="001C5D78">
        <w:t>/</w:t>
      </w:r>
      <w:proofErr w:type="spellStart"/>
      <w:r>
        <w:t>Mostrov</w:t>
      </w:r>
      <w:proofErr w:type="spellEnd"/>
      <w:r w:rsidR="001C5D78">
        <w:t>/</w:t>
      </w:r>
      <w:r>
        <w:t>Van de Velde 2020).</w:t>
      </w:r>
    </w:p>
    <w:p w:rsidR="00DA602C" w:rsidRDefault="00DA602C" w:rsidP="00DA602C">
      <w:pPr>
        <w:pStyle w:val="Keywords"/>
        <w:jc w:val="left"/>
      </w:pPr>
      <w:r>
        <w:t>The aim of this paper is to explore and contrast the syntactic and semantic features of TC and their analogues in French and Russian based on a parallel corpus, identify the most typical patterns across these systems, and investigate how specific semantic properties (NP animacy, adjective scope, transitivity) relate to specific evaluative configurations.</w:t>
      </w:r>
    </w:p>
    <w:p w:rsidR="00DA602C" w:rsidRDefault="00DA602C" w:rsidP="00DA602C">
      <w:pPr>
        <w:pStyle w:val="Keywords"/>
        <w:jc w:val="left"/>
      </w:pPr>
      <w:r>
        <w:t>The corpus study, based on the Opus corpus subtitles database (Tiedemann</w:t>
      </w:r>
      <w:r w:rsidR="001C5D78">
        <w:t>/</w:t>
      </w:r>
      <w:proofErr w:type="spellStart"/>
      <w:r>
        <w:t>Thottingal</w:t>
      </w:r>
      <w:proofErr w:type="spellEnd"/>
      <w:r>
        <w:t xml:space="preserve"> 2020), allowed to extract target English TC as source patterns using attribute expressions that contained two of the most frequently occurring adjectives within TC (difficult and easy) which were further mapped and compared with the corresponding aligned translations in French and Russian. In total, 375 target segments were identified (125 with difficult and 250 with easy).</w:t>
      </w:r>
    </w:p>
    <w:p w:rsidR="00DA602C" w:rsidRDefault="00DA602C" w:rsidP="00DA602C">
      <w:pPr>
        <w:pStyle w:val="Keywords"/>
        <w:jc w:val="left"/>
      </w:pPr>
      <w:r>
        <w:t>The results show that even though English and French have been thought to belong to the same language type, French seems to allow a multitude of functional equivalents (e.g., reflexive uses, deverbals, compact suffixed adjectival predicates) that co-exist with typical TC, as previously suggested by Van de Velde (2020).  With respect to Russian, this language offers mainly constructions involving a predicative (Comrie</w:t>
      </w:r>
      <w:r w:rsidR="001C5D78">
        <w:t>/</w:t>
      </w:r>
      <w:r>
        <w:t xml:space="preserve">Matthews 1990; </w:t>
      </w:r>
      <w:proofErr w:type="spellStart"/>
      <w:r w:rsidR="003336E6" w:rsidRPr="003336E6">
        <w:rPr>
          <w:lang w:val="en-US"/>
        </w:rPr>
        <w:t>Shcherba</w:t>
      </w:r>
      <w:proofErr w:type="spellEnd"/>
      <w:r>
        <w:t xml:space="preserve"> 2004), passive uses (</w:t>
      </w:r>
      <w:proofErr w:type="spellStart"/>
      <w:r>
        <w:t>Paykin</w:t>
      </w:r>
      <w:proofErr w:type="spellEnd"/>
      <w:r w:rsidR="001C5D78">
        <w:t>/</w:t>
      </w:r>
      <w:r>
        <w:t xml:space="preserve">Van </w:t>
      </w:r>
      <w:proofErr w:type="spellStart"/>
      <w:r>
        <w:t>Peteghem</w:t>
      </w:r>
      <w:proofErr w:type="spellEnd"/>
      <w:r>
        <w:t xml:space="preserve"> 2020) and alternatively some compact </w:t>
      </w:r>
      <w:proofErr w:type="spellStart"/>
      <w:r>
        <w:t>adjectivals</w:t>
      </w:r>
      <w:proofErr w:type="spellEnd"/>
      <w:r>
        <w:t xml:space="preserve">, deverbals and some other functional analogues (e.g., distributive adjectival uses, </w:t>
      </w:r>
      <w:proofErr w:type="spellStart"/>
      <w:r>
        <w:t>impersonnals</w:t>
      </w:r>
      <w:proofErr w:type="spellEnd"/>
      <w:r>
        <w:t xml:space="preserve">). Additionally, the data suggest that, although French and Russian offer similar functional patterns, their contexts of use differ to some extent. More specifically, the analysis showed that the animacy of the NP as well as the adjective-type do not influence much the choice among different functional analogues, as opposed to the degree of transitivity of the English embedded infinitive, which had a differential impact in the translations: </w:t>
      </w:r>
      <w:r>
        <w:lastRenderedPageBreak/>
        <w:t xml:space="preserve">although highly-transitive verbs allowed for great functional variability in both Russian and French, less prototypical contexts for </w:t>
      </w:r>
      <w:proofErr w:type="spellStart"/>
      <w:r>
        <w:t>evaluatives</w:t>
      </w:r>
      <w:proofErr w:type="spellEnd"/>
      <w:r>
        <w:t xml:space="preserve"> (low-transitive ones) led to an almost unique functional strategy in Russian translations (use of </w:t>
      </w:r>
      <w:proofErr w:type="spellStart"/>
      <w:r>
        <w:t>predicatives</w:t>
      </w:r>
      <w:proofErr w:type="spellEnd"/>
      <w:r>
        <w:t xml:space="preserve">). </w:t>
      </w:r>
    </w:p>
    <w:p w:rsidR="00DA602C" w:rsidRDefault="00DA602C" w:rsidP="00DA602C">
      <w:pPr>
        <w:pStyle w:val="Keywords"/>
        <w:jc w:val="left"/>
      </w:pPr>
      <w:r>
        <w:t xml:space="preserve">This parallel corpus study allowed an in-depth investigation of a grammatical phenomenon that is only little discussed for Russian, and mainly explored from a syntactic point of view in English and in French. The findings support a multidimensional account of evaluative constructions that </w:t>
      </w:r>
      <w:proofErr w:type="gramStart"/>
      <w:r>
        <w:t>takes into account</w:t>
      </w:r>
      <w:proofErr w:type="gramEnd"/>
      <w:r>
        <w:t xml:space="preserve"> their inherent semantic properties, and further suggest a classification on a cline of tough-predication according to their degree of compactness.</w:t>
      </w:r>
    </w:p>
    <w:p w:rsidR="00DA602C" w:rsidRDefault="00224AA6">
      <w:pPr>
        <w:pStyle w:val="Tabledesrfrencesjuridiques"/>
      </w:pPr>
      <w:r>
        <w:t>References</w:t>
      </w:r>
    </w:p>
    <w:p w:rsidR="00DA602C" w:rsidRPr="00AA1436" w:rsidRDefault="00DA602C" w:rsidP="00DA602C">
      <w:pPr>
        <w:pStyle w:val="Literaturverzeichnis1"/>
        <w:ind w:left="397" w:hanging="397"/>
        <w:rPr>
          <w:lang w:val="fr-FR"/>
        </w:rPr>
      </w:pPr>
      <w:r>
        <w:t>Becker, M</w:t>
      </w:r>
      <w:r w:rsidR="007D223D">
        <w:t>isha/</w:t>
      </w:r>
      <w:proofErr w:type="spellStart"/>
      <w:r>
        <w:t>Estigarribia</w:t>
      </w:r>
      <w:proofErr w:type="spellEnd"/>
      <w:r>
        <w:t>, B</w:t>
      </w:r>
      <w:r w:rsidR="007D223D">
        <w:t>runo/</w:t>
      </w:r>
      <w:proofErr w:type="spellStart"/>
      <w:r>
        <w:t>Gylfadottir</w:t>
      </w:r>
      <w:proofErr w:type="spellEnd"/>
      <w:r>
        <w:t>, D</w:t>
      </w:r>
      <w:r w:rsidR="007D223D">
        <w:t>una</w:t>
      </w:r>
      <w:r>
        <w:t xml:space="preserve"> (2012)</w:t>
      </w:r>
      <w:r w:rsidR="007D223D">
        <w:t>:</w:t>
      </w:r>
      <w:r>
        <w:t xml:space="preserve"> Tough-adjectives are easy to learn. </w:t>
      </w:r>
      <w:proofErr w:type="spellStart"/>
      <w:r w:rsidRPr="00AA1436">
        <w:rPr>
          <w:lang w:val="fr-FR"/>
        </w:rPr>
        <w:t>Supplemental</w:t>
      </w:r>
      <w:proofErr w:type="spellEnd"/>
      <w:r w:rsidRPr="00AA1436">
        <w:rPr>
          <w:lang w:val="fr-FR"/>
        </w:rPr>
        <w:t xml:space="preserve"> </w:t>
      </w:r>
      <w:proofErr w:type="spellStart"/>
      <w:r w:rsidRPr="00AA1436">
        <w:rPr>
          <w:lang w:val="fr-FR"/>
        </w:rPr>
        <w:t>Proceedings</w:t>
      </w:r>
      <w:proofErr w:type="spellEnd"/>
      <w:r w:rsidRPr="00AA1436">
        <w:rPr>
          <w:lang w:val="fr-FR"/>
        </w:rPr>
        <w:t xml:space="preserve"> of BUCLD, 36</w:t>
      </w:r>
      <w:r w:rsidR="001C5D78" w:rsidRPr="00AA1436">
        <w:rPr>
          <w:lang w:val="fr-FR"/>
        </w:rPr>
        <w:t>,</w:t>
      </w:r>
      <w:r w:rsidR="007D223D" w:rsidRPr="00AA1436">
        <w:rPr>
          <w:lang w:val="fr-FR"/>
        </w:rPr>
        <w:t xml:space="preserve"> pp. </w:t>
      </w:r>
      <w:r w:rsidRPr="00AA1436">
        <w:rPr>
          <w:lang w:val="fr-FR"/>
        </w:rPr>
        <w:t>1-12.</w:t>
      </w:r>
    </w:p>
    <w:p w:rsidR="00DA602C" w:rsidRPr="007D223D" w:rsidRDefault="00DA602C" w:rsidP="00DA602C">
      <w:pPr>
        <w:pStyle w:val="Literaturverzeichnis1"/>
        <w:ind w:left="397" w:hanging="397"/>
        <w:rPr>
          <w:lang w:val="en-US"/>
        </w:rPr>
      </w:pPr>
      <w:proofErr w:type="spellStart"/>
      <w:r w:rsidRPr="00DA602C">
        <w:rPr>
          <w:lang w:val="fr-FR"/>
        </w:rPr>
        <w:t>Boutault</w:t>
      </w:r>
      <w:proofErr w:type="spellEnd"/>
      <w:r w:rsidR="008F3DE2">
        <w:rPr>
          <w:lang w:val="fr-FR"/>
        </w:rPr>
        <w:t>,</w:t>
      </w:r>
      <w:r w:rsidRPr="00DA602C">
        <w:rPr>
          <w:lang w:val="fr-FR"/>
        </w:rPr>
        <w:t xml:space="preserve"> </w:t>
      </w:r>
      <w:proofErr w:type="spellStart"/>
      <w:r w:rsidRPr="00DA602C">
        <w:rPr>
          <w:lang w:val="fr-FR"/>
        </w:rPr>
        <w:t>J</w:t>
      </w:r>
      <w:r w:rsidR="007D223D">
        <w:rPr>
          <w:lang w:val="fr-FR"/>
        </w:rPr>
        <w:t>oasha</w:t>
      </w:r>
      <w:proofErr w:type="spellEnd"/>
      <w:r w:rsidRPr="00DA602C">
        <w:rPr>
          <w:lang w:val="fr-FR"/>
        </w:rPr>
        <w:t xml:space="preserve"> (2020</w:t>
      </w:r>
      <w:proofErr w:type="gramStart"/>
      <w:r w:rsidRPr="00DA602C">
        <w:rPr>
          <w:lang w:val="fr-FR"/>
        </w:rPr>
        <w:t>)</w:t>
      </w:r>
      <w:r w:rsidR="007D223D">
        <w:rPr>
          <w:lang w:val="fr-FR"/>
        </w:rPr>
        <w:t>:</w:t>
      </w:r>
      <w:proofErr w:type="gramEnd"/>
      <w:r w:rsidRPr="00DA602C">
        <w:rPr>
          <w:lang w:val="fr-FR"/>
        </w:rPr>
        <w:t xml:space="preserve"> Vers une définition des constructions « tough » en anglais : les adjectifs et leur complément infinitif, </w:t>
      </w:r>
      <w:proofErr w:type="spellStart"/>
      <w:r w:rsidRPr="00DA602C">
        <w:rPr>
          <w:lang w:val="fr-FR"/>
        </w:rPr>
        <w:t>Anglophonia</w:t>
      </w:r>
      <w:proofErr w:type="spellEnd"/>
      <w:r w:rsidR="007D223D">
        <w:rPr>
          <w:lang w:val="fr-FR"/>
        </w:rPr>
        <w:t xml:space="preserve">. </w:t>
      </w:r>
      <w:hyperlink r:id="rId7" w:history="1">
        <w:r w:rsidR="007D223D" w:rsidRPr="007D223D">
          <w:rPr>
            <w:rStyle w:val="Lienhypertexte"/>
            <w:lang w:val="en-US"/>
          </w:rPr>
          <w:t>https://journals.openedition.org/anglophonia/3773</w:t>
        </w:r>
      </w:hyperlink>
      <w:r w:rsidR="007D223D" w:rsidRPr="007D223D">
        <w:rPr>
          <w:lang w:val="en-US"/>
        </w:rPr>
        <w:t xml:space="preserve"> (last access: 27 September 2022).</w:t>
      </w:r>
    </w:p>
    <w:p w:rsidR="00DA602C" w:rsidRDefault="00DA602C" w:rsidP="00DA602C">
      <w:pPr>
        <w:pStyle w:val="Literaturverzeichnis1"/>
        <w:ind w:left="397" w:hanging="397"/>
      </w:pPr>
      <w:r>
        <w:t xml:space="preserve">Chung, </w:t>
      </w:r>
      <w:proofErr w:type="spellStart"/>
      <w:r>
        <w:t>Y</w:t>
      </w:r>
      <w:r w:rsidR="007D223D">
        <w:t>oong</w:t>
      </w:r>
      <w:proofErr w:type="spellEnd"/>
      <w:r w:rsidR="007D223D">
        <w:t>-Suk</w:t>
      </w:r>
      <w:r>
        <w:t xml:space="preserve"> (2001)</w:t>
      </w:r>
      <w:r w:rsidR="007D223D">
        <w:t>:</w:t>
      </w:r>
      <w:r>
        <w:t xml:space="preserve"> Tough construction in English: a construction grammar approach. Ph.D. dissertation, University of California.</w:t>
      </w:r>
      <w:bookmarkStart w:id="0" w:name="_GoBack"/>
      <w:bookmarkEnd w:id="0"/>
    </w:p>
    <w:p w:rsidR="00DA602C" w:rsidRDefault="00DA602C" w:rsidP="00DA602C">
      <w:pPr>
        <w:pStyle w:val="Literaturverzeichnis1"/>
        <w:ind w:left="397" w:hanging="397"/>
      </w:pPr>
      <w:r>
        <w:t>Comrie</w:t>
      </w:r>
      <w:r w:rsidR="003336E6">
        <w:t>,</w:t>
      </w:r>
      <w:r>
        <w:t xml:space="preserve"> B</w:t>
      </w:r>
      <w:r w:rsidR="003336E6">
        <w:t>ernard/</w:t>
      </w:r>
      <w:r>
        <w:t>Matthews S</w:t>
      </w:r>
      <w:r w:rsidR="003336E6">
        <w:t>tephen</w:t>
      </w:r>
      <w:r>
        <w:t xml:space="preserve"> (1990)</w:t>
      </w:r>
      <w:r w:rsidR="003336E6">
        <w:t>:</w:t>
      </w:r>
      <w:r>
        <w:t xml:space="preserve"> Prolegomena to a typology of tough movement. In Studies in typology and diachrony: papers presented to Joseph H. Greenberg on his 75th birthday, </w:t>
      </w:r>
      <w:r w:rsidR="003336E6">
        <w:t xml:space="preserve">pp. </w:t>
      </w:r>
      <w:r>
        <w:t xml:space="preserve">43–58. Amsterdam: John </w:t>
      </w:r>
      <w:proofErr w:type="spellStart"/>
      <w:r>
        <w:t>Benjamins</w:t>
      </w:r>
      <w:proofErr w:type="spellEnd"/>
      <w:r>
        <w:t>.</w:t>
      </w:r>
    </w:p>
    <w:p w:rsidR="00DA602C" w:rsidRDefault="00DA602C" w:rsidP="00DA602C">
      <w:pPr>
        <w:pStyle w:val="Literaturverzeichnis1"/>
        <w:ind w:left="397" w:hanging="397"/>
      </w:pPr>
      <w:proofErr w:type="spellStart"/>
      <w:r w:rsidRPr="003336E6">
        <w:rPr>
          <w:lang w:val="fr-FR"/>
        </w:rPr>
        <w:t>Tayalati</w:t>
      </w:r>
      <w:proofErr w:type="spellEnd"/>
      <w:r w:rsidRPr="003336E6">
        <w:rPr>
          <w:lang w:val="fr-FR"/>
        </w:rPr>
        <w:t xml:space="preserve">, </w:t>
      </w:r>
      <w:proofErr w:type="spellStart"/>
      <w:r w:rsidRPr="003336E6">
        <w:rPr>
          <w:lang w:val="fr-FR"/>
        </w:rPr>
        <w:t>F</w:t>
      </w:r>
      <w:r w:rsidR="003336E6" w:rsidRPr="003336E6">
        <w:rPr>
          <w:lang w:val="fr-FR"/>
        </w:rPr>
        <w:t>ayssal</w:t>
      </w:r>
      <w:proofErr w:type="spellEnd"/>
      <w:r w:rsidR="003336E6" w:rsidRPr="003336E6">
        <w:rPr>
          <w:lang w:val="fr-FR"/>
        </w:rPr>
        <w:t>/</w:t>
      </w:r>
      <w:proofErr w:type="spellStart"/>
      <w:r w:rsidRPr="003336E6">
        <w:rPr>
          <w:lang w:val="fr-FR"/>
        </w:rPr>
        <w:t>Mostrov</w:t>
      </w:r>
      <w:proofErr w:type="spellEnd"/>
      <w:r w:rsidRPr="003336E6">
        <w:rPr>
          <w:lang w:val="fr-FR"/>
        </w:rPr>
        <w:t xml:space="preserve">, </w:t>
      </w:r>
      <w:proofErr w:type="spellStart"/>
      <w:r w:rsidRPr="003336E6">
        <w:rPr>
          <w:lang w:val="fr-FR"/>
        </w:rPr>
        <w:t>V</w:t>
      </w:r>
      <w:r w:rsidR="003336E6" w:rsidRPr="003336E6">
        <w:rPr>
          <w:lang w:val="fr-FR"/>
        </w:rPr>
        <w:t>assil</w:t>
      </w:r>
      <w:proofErr w:type="spellEnd"/>
      <w:r w:rsidR="003336E6" w:rsidRPr="003336E6">
        <w:rPr>
          <w:lang w:val="fr-FR"/>
        </w:rPr>
        <w:t>/</w:t>
      </w:r>
      <w:r w:rsidRPr="003336E6">
        <w:rPr>
          <w:lang w:val="fr-FR"/>
        </w:rPr>
        <w:t>Van de Velde, D</w:t>
      </w:r>
      <w:r w:rsidR="003336E6" w:rsidRPr="003336E6">
        <w:rPr>
          <w:lang w:val="fr-FR"/>
        </w:rPr>
        <w:t>anièle</w:t>
      </w:r>
      <w:r w:rsidRPr="003336E6">
        <w:rPr>
          <w:lang w:val="fr-FR"/>
        </w:rPr>
        <w:t xml:space="preserve"> (2020</w:t>
      </w:r>
      <w:proofErr w:type="gramStart"/>
      <w:r w:rsidRPr="003336E6">
        <w:rPr>
          <w:lang w:val="fr-FR"/>
        </w:rPr>
        <w:t>)</w:t>
      </w:r>
      <w:r w:rsidR="003336E6" w:rsidRPr="003336E6">
        <w:rPr>
          <w:lang w:val="fr-FR"/>
        </w:rPr>
        <w:t>:</w:t>
      </w:r>
      <w:proofErr w:type="gramEnd"/>
      <w:r w:rsidRPr="003336E6">
        <w:rPr>
          <w:lang w:val="fr-FR"/>
        </w:rPr>
        <w:t xml:space="preserve"> </w:t>
      </w:r>
      <w:r w:rsidRPr="00DA602C">
        <w:rPr>
          <w:lang w:val="fr-FR"/>
        </w:rPr>
        <w:t xml:space="preserve">Les constructions Tough : syntaxe, sémantique et interfaces. </w:t>
      </w:r>
      <w:proofErr w:type="spellStart"/>
      <w:r>
        <w:t>Langages</w:t>
      </w:r>
      <w:proofErr w:type="spellEnd"/>
      <w:r>
        <w:t>, 218(2)</w:t>
      </w:r>
      <w:r w:rsidR="001C5D78">
        <w:t>,</w:t>
      </w:r>
      <w:r>
        <w:t xml:space="preserve"> </w:t>
      </w:r>
      <w:r w:rsidR="007A7EA9">
        <w:t>pp.</w:t>
      </w:r>
      <w:r>
        <w:t>7-16.</w:t>
      </w:r>
    </w:p>
    <w:p w:rsidR="00DA602C" w:rsidRDefault="00DA602C" w:rsidP="00DA602C">
      <w:pPr>
        <w:pStyle w:val="Literaturverzeichnis1"/>
        <w:ind w:left="397" w:hanging="397"/>
      </w:pPr>
      <w:proofErr w:type="spellStart"/>
      <w:r>
        <w:t>Guérin</w:t>
      </w:r>
      <w:proofErr w:type="spellEnd"/>
      <w:r>
        <w:t>, V</w:t>
      </w:r>
      <w:r w:rsidR="003336E6">
        <w:t>alérie</w:t>
      </w:r>
      <w:r>
        <w:t xml:space="preserve"> (2006)</w:t>
      </w:r>
      <w:r w:rsidR="003336E6">
        <w:t>:</w:t>
      </w:r>
      <w:r>
        <w:t xml:space="preserve"> On tough constructions in French. Manoa Working Papers in Linguistics, 37(1)</w:t>
      </w:r>
      <w:r w:rsidR="001C5D78">
        <w:t>,</w:t>
      </w:r>
      <w:r w:rsidR="007A7EA9">
        <w:t xml:space="preserve"> pp.</w:t>
      </w:r>
      <w:r>
        <w:t>1-21.</w:t>
      </w:r>
    </w:p>
    <w:p w:rsidR="00DA602C" w:rsidRDefault="00DA602C" w:rsidP="00DA602C">
      <w:pPr>
        <w:pStyle w:val="Literaturverzeichnis1"/>
        <w:ind w:left="397" w:hanging="397"/>
      </w:pPr>
      <w:r>
        <w:t xml:space="preserve">Kim, </w:t>
      </w:r>
      <w:proofErr w:type="spellStart"/>
      <w:r>
        <w:t>K</w:t>
      </w:r>
      <w:r w:rsidR="003336E6">
        <w:t>itaek</w:t>
      </w:r>
      <w:proofErr w:type="spellEnd"/>
      <w:r>
        <w:t xml:space="preserve"> (2014)</w:t>
      </w:r>
      <w:r w:rsidR="003336E6">
        <w:t>:</w:t>
      </w:r>
      <w:r>
        <w:t xml:space="preserve"> Unveiling linguistic competence by facilitating performance. Ph.D. dissertation. University of Hawaii at Manoa.</w:t>
      </w:r>
    </w:p>
    <w:p w:rsidR="00DA602C" w:rsidRPr="003336E6" w:rsidRDefault="00DA602C" w:rsidP="00DA602C">
      <w:pPr>
        <w:pStyle w:val="Literaturverzeichnis1"/>
        <w:ind w:left="397" w:hanging="397"/>
        <w:rPr>
          <w:lang w:val="en-US"/>
        </w:rPr>
      </w:pPr>
      <w:proofErr w:type="spellStart"/>
      <w:r w:rsidRPr="003336E6">
        <w:rPr>
          <w:lang w:val="fr-FR"/>
        </w:rPr>
        <w:t>Paykin</w:t>
      </w:r>
      <w:proofErr w:type="spellEnd"/>
      <w:r w:rsidRPr="003336E6">
        <w:rPr>
          <w:lang w:val="fr-FR"/>
        </w:rPr>
        <w:t xml:space="preserve">, </w:t>
      </w:r>
      <w:proofErr w:type="spellStart"/>
      <w:r w:rsidRPr="003336E6">
        <w:rPr>
          <w:lang w:val="fr-FR"/>
        </w:rPr>
        <w:t>K</w:t>
      </w:r>
      <w:r w:rsidR="003336E6" w:rsidRPr="003336E6">
        <w:rPr>
          <w:lang w:val="fr-FR"/>
        </w:rPr>
        <w:t>aiya</w:t>
      </w:r>
      <w:proofErr w:type="spellEnd"/>
      <w:r w:rsidR="003336E6">
        <w:rPr>
          <w:lang w:val="fr-FR"/>
        </w:rPr>
        <w:t>/</w:t>
      </w:r>
      <w:r w:rsidRPr="003336E6">
        <w:rPr>
          <w:lang w:val="fr-FR"/>
        </w:rPr>
        <w:t xml:space="preserve">Van </w:t>
      </w:r>
      <w:proofErr w:type="spellStart"/>
      <w:r w:rsidRPr="003336E6">
        <w:rPr>
          <w:lang w:val="fr-FR"/>
        </w:rPr>
        <w:t>Peteghem</w:t>
      </w:r>
      <w:proofErr w:type="spellEnd"/>
      <w:r w:rsidRPr="003336E6">
        <w:rPr>
          <w:lang w:val="fr-FR"/>
        </w:rPr>
        <w:t>, M</w:t>
      </w:r>
      <w:r w:rsidR="003336E6" w:rsidRPr="003336E6">
        <w:rPr>
          <w:lang w:val="fr-FR"/>
        </w:rPr>
        <w:t>arleen</w:t>
      </w:r>
      <w:r w:rsidRPr="003336E6">
        <w:rPr>
          <w:lang w:val="fr-FR"/>
        </w:rPr>
        <w:t xml:space="preserve"> (2020</w:t>
      </w:r>
      <w:proofErr w:type="gramStart"/>
      <w:r w:rsidRPr="003336E6">
        <w:rPr>
          <w:lang w:val="fr-FR"/>
        </w:rPr>
        <w:t>)</w:t>
      </w:r>
      <w:r w:rsidR="003336E6" w:rsidRPr="003336E6">
        <w:rPr>
          <w:lang w:val="fr-FR"/>
        </w:rPr>
        <w:t>:</w:t>
      </w:r>
      <w:proofErr w:type="gramEnd"/>
      <w:r w:rsidRPr="003336E6">
        <w:rPr>
          <w:lang w:val="fr-FR"/>
        </w:rPr>
        <w:t xml:space="preserve"> </w:t>
      </w:r>
      <w:r w:rsidRPr="00DA602C">
        <w:rPr>
          <w:lang w:val="fr-FR"/>
        </w:rPr>
        <w:t xml:space="preserve">Des adjectifs tough dans des langues sans construction Tough ? </w:t>
      </w:r>
      <w:r w:rsidRPr="00AA1436">
        <w:rPr>
          <w:lang w:val="en-US"/>
        </w:rPr>
        <w:t xml:space="preserve">Le </w:t>
      </w:r>
      <w:proofErr w:type="spellStart"/>
      <w:r w:rsidRPr="00AA1436">
        <w:rPr>
          <w:lang w:val="en-US"/>
        </w:rPr>
        <w:t>cas</w:t>
      </w:r>
      <w:proofErr w:type="spellEnd"/>
      <w:r w:rsidRPr="00AA1436">
        <w:rPr>
          <w:lang w:val="en-US"/>
        </w:rPr>
        <w:t xml:space="preserve"> du </w:t>
      </w:r>
      <w:proofErr w:type="spellStart"/>
      <w:r w:rsidRPr="00AA1436">
        <w:rPr>
          <w:lang w:val="en-US"/>
        </w:rPr>
        <w:t>russe</w:t>
      </w:r>
      <w:proofErr w:type="spellEnd"/>
      <w:r w:rsidRPr="00AA1436">
        <w:rPr>
          <w:lang w:val="en-US"/>
        </w:rPr>
        <w:t xml:space="preserve">. </w:t>
      </w:r>
      <w:proofErr w:type="spellStart"/>
      <w:r w:rsidRPr="003336E6">
        <w:rPr>
          <w:lang w:val="en-US"/>
        </w:rPr>
        <w:t>Langages</w:t>
      </w:r>
      <w:proofErr w:type="spellEnd"/>
      <w:r w:rsidRPr="003336E6">
        <w:rPr>
          <w:lang w:val="en-US"/>
        </w:rPr>
        <w:t xml:space="preserve">, 218(2), </w:t>
      </w:r>
      <w:r w:rsidR="003336E6" w:rsidRPr="003336E6">
        <w:rPr>
          <w:lang w:val="en-US"/>
        </w:rPr>
        <w:t xml:space="preserve">pp. </w:t>
      </w:r>
      <w:r w:rsidRPr="003336E6">
        <w:rPr>
          <w:lang w:val="en-US"/>
        </w:rPr>
        <w:t>75-88.</w:t>
      </w:r>
    </w:p>
    <w:p w:rsidR="00DA602C" w:rsidRPr="007A7EA9" w:rsidRDefault="003336E6" w:rsidP="00DA602C">
      <w:pPr>
        <w:pStyle w:val="Literaturverzeichnis1"/>
        <w:ind w:left="397" w:hanging="397"/>
        <w:rPr>
          <w:lang w:val="en-US"/>
        </w:rPr>
      </w:pPr>
      <w:proofErr w:type="spellStart"/>
      <w:r w:rsidRPr="003336E6">
        <w:rPr>
          <w:lang w:val="en-US"/>
        </w:rPr>
        <w:t>Shcherba</w:t>
      </w:r>
      <w:proofErr w:type="spellEnd"/>
      <w:r w:rsidR="00DA602C" w:rsidRPr="003336E6">
        <w:rPr>
          <w:lang w:val="en-US"/>
        </w:rPr>
        <w:t>, L</w:t>
      </w:r>
      <w:r w:rsidRPr="003336E6">
        <w:rPr>
          <w:lang w:val="en-US"/>
        </w:rPr>
        <w:t>ev</w:t>
      </w:r>
      <w:r w:rsidR="00DA602C" w:rsidRPr="003336E6">
        <w:rPr>
          <w:lang w:val="en-US"/>
        </w:rPr>
        <w:t xml:space="preserve"> (2004)</w:t>
      </w:r>
      <w:r w:rsidR="007A7EA9">
        <w:rPr>
          <w:lang w:val="en-US"/>
        </w:rPr>
        <w:t>:</w:t>
      </w:r>
      <w:r w:rsidR="00DA602C" w:rsidRPr="003336E6">
        <w:rPr>
          <w:lang w:val="en-US"/>
        </w:rPr>
        <w:t xml:space="preserve"> </w:t>
      </w:r>
      <w:proofErr w:type="spellStart"/>
      <w:r>
        <w:t>Yazykovaya</w:t>
      </w:r>
      <w:proofErr w:type="spellEnd"/>
      <w:r>
        <w:t xml:space="preserve"> </w:t>
      </w:r>
      <w:proofErr w:type="spellStart"/>
      <w:r>
        <w:t>sistema</w:t>
      </w:r>
      <w:proofErr w:type="spellEnd"/>
      <w:r>
        <w:t xml:space="preserve"> </w:t>
      </w:r>
      <w:proofErr w:type="spellStart"/>
      <w:r>
        <w:t>i</w:t>
      </w:r>
      <w:proofErr w:type="spellEnd"/>
      <w:r>
        <w:t xml:space="preserve"> </w:t>
      </w:r>
      <w:proofErr w:type="spellStart"/>
      <w:r>
        <w:t>rechevaya</w:t>
      </w:r>
      <w:proofErr w:type="spellEnd"/>
      <w:r>
        <w:t xml:space="preserve"> </w:t>
      </w:r>
      <w:proofErr w:type="spellStart"/>
      <w:r>
        <w:t>deyatel'nost</w:t>
      </w:r>
      <w:proofErr w:type="spellEnd"/>
      <w:r>
        <w:t>' [Language system and speech activity]. Moscow: Editorial URSS [in Russian].</w:t>
      </w:r>
    </w:p>
    <w:p w:rsidR="00DA602C" w:rsidRDefault="00DA602C" w:rsidP="00DA602C">
      <w:pPr>
        <w:pStyle w:val="Literaturverzeichnis1"/>
        <w:ind w:left="397" w:hanging="397"/>
      </w:pPr>
      <w:r w:rsidRPr="007A7EA9">
        <w:rPr>
          <w:lang w:val="en-US"/>
        </w:rPr>
        <w:t xml:space="preserve">Tiedemann, </w:t>
      </w:r>
      <w:proofErr w:type="spellStart"/>
      <w:r w:rsidRPr="007A7EA9">
        <w:rPr>
          <w:lang w:val="en-US"/>
        </w:rPr>
        <w:t>J</w:t>
      </w:r>
      <w:r w:rsidR="007A7EA9">
        <w:rPr>
          <w:lang w:val="en-US"/>
        </w:rPr>
        <w:t>o</w:t>
      </w:r>
      <w:r w:rsidR="007A7EA9" w:rsidRPr="007A7EA9">
        <w:rPr>
          <w:lang w:val="en-US"/>
        </w:rPr>
        <w:t>rg</w:t>
      </w:r>
      <w:proofErr w:type="spellEnd"/>
      <w:r w:rsidR="007A7EA9" w:rsidRPr="007A7EA9">
        <w:rPr>
          <w:lang w:val="en-US"/>
        </w:rPr>
        <w:t>/</w:t>
      </w:r>
      <w:proofErr w:type="spellStart"/>
      <w:r w:rsidRPr="007A7EA9">
        <w:rPr>
          <w:lang w:val="en-US"/>
        </w:rPr>
        <w:t>Thottingal</w:t>
      </w:r>
      <w:proofErr w:type="spellEnd"/>
      <w:r w:rsidRPr="007A7EA9">
        <w:rPr>
          <w:lang w:val="en-US"/>
        </w:rPr>
        <w:t>, S</w:t>
      </w:r>
      <w:r w:rsidR="007A7EA9" w:rsidRPr="007A7EA9">
        <w:rPr>
          <w:lang w:val="en-US"/>
        </w:rPr>
        <w:t xml:space="preserve">anthosh </w:t>
      </w:r>
      <w:r w:rsidRPr="007A7EA9">
        <w:rPr>
          <w:lang w:val="en-US"/>
        </w:rPr>
        <w:t>(2020)</w:t>
      </w:r>
      <w:r w:rsidR="007A7EA9" w:rsidRPr="007A7EA9">
        <w:rPr>
          <w:lang w:val="en-US"/>
        </w:rPr>
        <w:t>:</w:t>
      </w:r>
      <w:r w:rsidRPr="007A7EA9">
        <w:rPr>
          <w:lang w:val="en-US"/>
        </w:rPr>
        <w:t xml:space="preserve"> </w:t>
      </w:r>
      <w:r>
        <w:t xml:space="preserve">OPUS-MT–Building open translation services for the World. In Proceedings of the 22nd Annual Conference of the European Association for Machine Translation </w:t>
      </w:r>
      <w:r w:rsidR="007A7EA9">
        <w:t xml:space="preserve">pp. </w:t>
      </w:r>
      <w:r>
        <w:t>479-480.</w:t>
      </w:r>
    </w:p>
    <w:p w:rsidR="00DA602C" w:rsidRPr="00AA1436" w:rsidRDefault="00DA602C" w:rsidP="00DA602C">
      <w:pPr>
        <w:pStyle w:val="Literaturverzeichnis1"/>
        <w:ind w:left="397" w:hanging="397"/>
        <w:rPr>
          <w:lang w:val="fr-FR"/>
        </w:rPr>
      </w:pPr>
      <w:r w:rsidRPr="00DA602C">
        <w:rPr>
          <w:lang w:val="fr-FR"/>
        </w:rPr>
        <w:t xml:space="preserve">Van de Velde, </w:t>
      </w:r>
      <w:r w:rsidR="007A7EA9" w:rsidRPr="003336E6">
        <w:rPr>
          <w:lang w:val="fr-FR"/>
        </w:rPr>
        <w:t>Danièle</w:t>
      </w:r>
      <w:r w:rsidRPr="00DA602C">
        <w:rPr>
          <w:lang w:val="fr-FR"/>
        </w:rPr>
        <w:t xml:space="preserve"> (2020)</w:t>
      </w:r>
      <w:r w:rsidR="007A7EA9">
        <w:rPr>
          <w:lang w:val="fr-FR"/>
        </w:rPr>
        <w:t> :</w:t>
      </w:r>
      <w:r w:rsidRPr="00DA602C">
        <w:rPr>
          <w:lang w:val="fr-FR"/>
        </w:rPr>
        <w:t xml:space="preserve"> Les adjectifs tough du français comme prédicats dispositionnels. </w:t>
      </w:r>
      <w:r w:rsidRPr="00AA1436">
        <w:rPr>
          <w:lang w:val="fr-FR"/>
        </w:rPr>
        <w:t>Langages, 218(2)</w:t>
      </w:r>
      <w:r w:rsidR="001C5D78" w:rsidRPr="00AA1436">
        <w:rPr>
          <w:lang w:val="fr-FR"/>
        </w:rPr>
        <w:t>,</w:t>
      </w:r>
      <w:r w:rsidRPr="00AA1436">
        <w:rPr>
          <w:lang w:val="fr-FR"/>
        </w:rPr>
        <w:t xml:space="preserve"> </w:t>
      </w:r>
      <w:r w:rsidR="007A7EA9" w:rsidRPr="00AA1436">
        <w:rPr>
          <w:lang w:val="fr-FR"/>
        </w:rPr>
        <w:t xml:space="preserve">pp. </w:t>
      </w:r>
      <w:r w:rsidRPr="00AA1436">
        <w:rPr>
          <w:lang w:val="fr-FR"/>
        </w:rPr>
        <w:t>107-124.</w:t>
      </w:r>
    </w:p>
    <w:p w:rsidR="00AB181E" w:rsidRPr="00AA1436" w:rsidRDefault="00224AA6">
      <w:pPr>
        <w:pStyle w:val="Titre1"/>
        <w:rPr>
          <w:lang w:val="fr-FR"/>
        </w:rPr>
      </w:pPr>
      <w:r w:rsidRPr="00AA1436">
        <w:rPr>
          <w:lang w:val="fr-FR"/>
        </w:rPr>
        <w:t>Contact information</w:t>
      </w:r>
    </w:p>
    <w:p w:rsidR="00AB181E" w:rsidRPr="00AA1436" w:rsidRDefault="007D223D">
      <w:pPr>
        <w:rPr>
          <w:lang w:val="fr-FR"/>
        </w:rPr>
      </w:pPr>
      <w:r w:rsidRPr="00AA1436">
        <w:rPr>
          <w:rStyle w:val="lev"/>
          <w:lang w:val="fr-FR"/>
        </w:rPr>
        <w:t xml:space="preserve">Alina </w:t>
      </w:r>
      <w:proofErr w:type="spellStart"/>
      <w:r w:rsidRPr="00AA1436">
        <w:rPr>
          <w:rStyle w:val="lev"/>
          <w:lang w:val="fr-FR"/>
        </w:rPr>
        <w:t>Tsikulina</w:t>
      </w:r>
      <w:proofErr w:type="spellEnd"/>
    </w:p>
    <w:p w:rsidR="00AB181E" w:rsidRDefault="007D223D">
      <w:pPr>
        <w:rPr>
          <w:lang w:val="fr-FR"/>
        </w:rPr>
      </w:pPr>
      <w:r>
        <w:rPr>
          <w:lang w:val="fr-FR"/>
        </w:rPr>
        <w:t>Université de Lille</w:t>
      </w:r>
    </w:p>
    <w:p w:rsidR="007D223D" w:rsidRPr="007D223D" w:rsidRDefault="006D491A">
      <w:pPr>
        <w:rPr>
          <w:lang w:val="fr-FR"/>
        </w:rPr>
      </w:pPr>
      <w:hyperlink r:id="rId8" w:history="1">
        <w:r w:rsidR="007D223D" w:rsidRPr="00472E28">
          <w:rPr>
            <w:rStyle w:val="Lienhypertexte"/>
            <w:lang w:val="fr-FR"/>
          </w:rPr>
          <w:t>alina.tsikulina@univ-lille.fr</w:t>
        </w:r>
      </w:hyperlink>
      <w:r w:rsidR="007D223D">
        <w:rPr>
          <w:lang w:val="fr-FR"/>
        </w:rPr>
        <w:t xml:space="preserve"> </w:t>
      </w:r>
    </w:p>
    <w:p w:rsidR="00AB181E" w:rsidRDefault="00AB181E">
      <w:pPr>
        <w:pStyle w:val="Literaturverzeichnis1"/>
        <w:ind w:left="0" w:firstLine="0"/>
        <w:rPr>
          <w:lang w:val="fr-FR"/>
        </w:rPr>
      </w:pPr>
    </w:p>
    <w:p w:rsidR="007D223D" w:rsidRPr="007D223D" w:rsidRDefault="007D223D" w:rsidP="007D223D">
      <w:pPr>
        <w:rPr>
          <w:lang w:val="fr-FR"/>
        </w:rPr>
      </w:pPr>
      <w:proofErr w:type="spellStart"/>
      <w:r>
        <w:rPr>
          <w:rStyle w:val="lev"/>
          <w:lang w:val="fr-FR"/>
        </w:rPr>
        <w:t>Fayssal</w:t>
      </w:r>
      <w:proofErr w:type="spellEnd"/>
      <w:r>
        <w:rPr>
          <w:rStyle w:val="lev"/>
          <w:lang w:val="fr-FR"/>
        </w:rPr>
        <w:t xml:space="preserve"> </w:t>
      </w:r>
      <w:proofErr w:type="spellStart"/>
      <w:r>
        <w:rPr>
          <w:rStyle w:val="lev"/>
          <w:lang w:val="fr-FR"/>
        </w:rPr>
        <w:t>Tayalati</w:t>
      </w:r>
      <w:proofErr w:type="spellEnd"/>
    </w:p>
    <w:p w:rsidR="007D223D" w:rsidRDefault="007D223D" w:rsidP="007D223D">
      <w:pPr>
        <w:rPr>
          <w:lang w:val="fr-FR"/>
        </w:rPr>
      </w:pPr>
      <w:r>
        <w:rPr>
          <w:lang w:val="fr-FR"/>
        </w:rPr>
        <w:t>Université de Lille</w:t>
      </w:r>
    </w:p>
    <w:p w:rsidR="007D223D" w:rsidRDefault="006D491A" w:rsidP="007D223D">
      <w:pPr>
        <w:rPr>
          <w:lang w:val="fr-FR"/>
        </w:rPr>
      </w:pPr>
      <w:hyperlink r:id="rId9" w:history="1">
        <w:r w:rsidR="007D223D" w:rsidRPr="00472E28">
          <w:rPr>
            <w:rStyle w:val="Lienhypertexte"/>
            <w:lang w:val="fr-FR"/>
          </w:rPr>
          <w:t>fayssal.tayalati@univ-lille.fr</w:t>
        </w:r>
      </w:hyperlink>
      <w:r w:rsidR="007D223D">
        <w:rPr>
          <w:lang w:val="fr-FR"/>
        </w:rPr>
        <w:t xml:space="preserve"> </w:t>
      </w:r>
    </w:p>
    <w:p w:rsidR="007D223D" w:rsidRDefault="007D223D" w:rsidP="007D223D">
      <w:pPr>
        <w:rPr>
          <w:lang w:val="fr-FR"/>
        </w:rPr>
      </w:pPr>
    </w:p>
    <w:p w:rsidR="007D223D" w:rsidRPr="007D223D" w:rsidRDefault="007D223D" w:rsidP="007D223D">
      <w:pPr>
        <w:rPr>
          <w:lang w:val="fr-FR"/>
        </w:rPr>
      </w:pPr>
      <w:r>
        <w:rPr>
          <w:rStyle w:val="lev"/>
          <w:lang w:val="fr-FR"/>
        </w:rPr>
        <w:t xml:space="preserve">Efstathia </w:t>
      </w:r>
      <w:proofErr w:type="spellStart"/>
      <w:r>
        <w:rPr>
          <w:rStyle w:val="lev"/>
          <w:lang w:val="fr-FR"/>
        </w:rPr>
        <w:t>Soroli</w:t>
      </w:r>
      <w:proofErr w:type="spellEnd"/>
    </w:p>
    <w:p w:rsidR="007D223D" w:rsidRDefault="007D223D" w:rsidP="007D223D">
      <w:pPr>
        <w:rPr>
          <w:lang w:val="fr-FR"/>
        </w:rPr>
      </w:pPr>
      <w:r>
        <w:rPr>
          <w:lang w:val="fr-FR"/>
        </w:rPr>
        <w:t>Université de Lille</w:t>
      </w:r>
    </w:p>
    <w:p w:rsidR="007D223D" w:rsidRPr="007D223D" w:rsidRDefault="006D491A" w:rsidP="007D223D">
      <w:pPr>
        <w:rPr>
          <w:lang w:val="fr-FR"/>
        </w:rPr>
      </w:pPr>
      <w:hyperlink r:id="rId10" w:history="1">
        <w:r w:rsidR="007D223D" w:rsidRPr="00472E28">
          <w:rPr>
            <w:rStyle w:val="Lienhypertexte"/>
            <w:lang w:val="fr-FR"/>
          </w:rPr>
          <w:t>efstathia.soroli@univ-lille.fr</w:t>
        </w:r>
      </w:hyperlink>
      <w:r w:rsidR="007D223D">
        <w:rPr>
          <w:lang w:val="fr-FR"/>
        </w:rPr>
        <w:t xml:space="preserve"> </w:t>
      </w:r>
    </w:p>
    <w:p w:rsidR="007D223D" w:rsidRPr="007D223D" w:rsidRDefault="007D223D" w:rsidP="007D223D">
      <w:pPr>
        <w:rPr>
          <w:lang w:val="fr-FR"/>
        </w:rPr>
      </w:pPr>
    </w:p>
    <w:p w:rsidR="007D223D" w:rsidRPr="007D223D" w:rsidRDefault="007D223D">
      <w:pPr>
        <w:pStyle w:val="Literaturverzeichnis1"/>
        <w:ind w:left="0" w:firstLine="0"/>
        <w:rPr>
          <w:lang w:val="fr-FR"/>
        </w:rPr>
      </w:pPr>
    </w:p>
    <w:p w:rsidR="00AB181E" w:rsidRPr="007D223D" w:rsidRDefault="00AB181E">
      <w:pPr>
        <w:pStyle w:val="Literaturverzeichnis1"/>
        <w:ind w:left="0" w:firstLine="0"/>
        <w:rPr>
          <w:lang w:val="fr-FR"/>
        </w:rPr>
      </w:pPr>
    </w:p>
    <w:sectPr w:rsidR="00AB181E" w:rsidRPr="007D223D">
      <w:headerReference w:type="default" r:id="rId11"/>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91A" w:rsidRDefault="006D491A">
      <w:pPr>
        <w:spacing w:before="0" w:line="240" w:lineRule="auto"/>
      </w:pPr>
      <w:r>
        <w:separator/>
      </w:r>
    </w:p>
  </w:endnote>
  <w:endnote w:type="continuationSeparator" w:id="0">
    <w:p w:rsidR="006D491A" w:rsidRDefault="006D491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68B7F10C-98CC-453D-9B4C-442194EFAAB9}"/>
    <w:embedBold r:id="rId2" w:fontKey="{3D3DC40F-94ED-4281-B0C0-B1EF729D2726}"/>
  </w:font>
  <w:font w:name="Tahoma">
    <w:panose1 w:val="020B0604030504040204"/>
    <w:charset w:val="00"/>
    <w:family w:val="swiss"/>
    <w:pitch w:val="variable"/>
    <w:sig w:usb0="E1002EFF" w:usb1="C000605B" w:usb2="00000029" w:usb3="00000000" w:csb0="000101FF" w:csb1="00000000"/>
    <w:embedRegular r:id="rId3" w:fontKey="{F95CA49E-BB27-4C35-98B8-A1F9803056E1}"/>
    <w:embedBold r:id="rId4" w:fontKey="{FFEE00B5-8B72-40AF-9E63-DC9DEBD5C5AC}"/>
    <w:embedItalic r:id="rId5" w:fontKey="{7300D35E-4801-4029-A5F9-432DA68EDF91}"/>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6" w:fontKey="{D1AE34B7-21A7-475D-A72E-F2162D909DF4}"/>
  </w:font>
  <w:font w:name="Liberation Sans">
    <w:altName w:val="Arial"/>
    <w:charset w:val="00"/>
    <w:family w:val="swiss"/>
    <w:pitch w:val="variable"/>
    <w:sig w:usb0="E0000AFF" w:usb1="500078FF" w:usb2="00000021" w:usb3="00000000" w:csb0="000001BF" w:csb1="00000000"/>
    <w:embedBold r:id="rId7" w:fontKey="{2B4FD112-7155-4E9C-8858-319EFD2C899B}"/>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embedRegular r:id="rId8" w:fontKey="{BB15ED99-B520-45C4-B5C1-6E9DD5609C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81E" w:rsidRDefault="00224AA6" w:rsidP="00694682">
    <w:pPr>
      <w:pStyle w:val="Pieddepage"/>
      <w:jc w:val="right"/>
    </w:pPr>
    <w:r>
      <w:rPr>
        <w:rStyle w:val="Numrodepage"/>
        <w:rFonts w:cs="Libertinus Serif"/>
      </w:rPr>
      <w:fldChar w:fldCharType="begin"/>
    </w:r>
    <w:r>
      <w:rPr>
        <w:rStyle w:val="Numrodepage"/>
        <w:rFonts w:cs="Libertinus Serif"/>
      </w:rPr>
      <w:instrText xml:space="preserve"> PAGE </w:instrText>
    </w:r>
    <w:r>
      <w:rPr>
        <w:rStyle w:val="Numrodepage"/>
        <w:rFonts w:cs="Libertinus Serif"/>
      </w:rPr>
      <w:fldChar w:fldCharType="separate"/>
    </w:r>
    <w:r w:rsidR="004C5262">
      <w:rPr>
        <w:rStyle w:val="Numrodepage"/>
        <w:rFonts w:cs="Libertinus Serif"/>
        <w:noProof/>
      </w:rPr>
      <w:t>3</w:t>
    </w:r>
    <w:r>
      <w:rPr>
        <w:rStyle w:val="Numrodepage"/>
        <w:rFonts w:cs="Libertinus Serif"/>
      </w:rPr>
      <w:fldChar w:fldCharType="end"/>
    </w:r>
  </w:p>
  <w:p w:rsidR="00AB181E" w:rsidRDefault="00AB181E">
    <w:pPr>
      <w:pStyle w:val="Pieddepag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91A" w:rsidRDefault="006D491A">
      <w:pPr>
        <w:rPr>
          <w:sz w:val="12"/>
        </w:rPr>
      </w:pPr>
      <w:r>
        <w:separator/>
      </w:r>
    </w:p>
  </w:footnote>
  <w:footnote w:type="continuationSeparator" w:id="0">
    <w:p w:rsidR="006D491A" w:rsidRDefault="006D491A">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81E" w:rsidRDefault="00224AA6">
    <w:pPr>
      <w:pStyle w:val="En-tt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1C5D78"/>
    <w:rsid w:val="00224AA6"/>
    <w:rsid w:val="00227F60"/>
    <w:rsid w:val="003336E6"/>
    <w:rsid w:val="004C5262"/>
    <w:rsid w:val="00594DD7"/>
    <w:rsid w:val="00596562"/>
    <w:rsid w:val="00694682"/>
    <w:rsid w:val="006D491A"/>
    <w:rsid w:val="00717483"/>
    <w:rsid w:val="007A7EA9"/>
    <w:rsid w:val="007B66E8"/>
    <w:rsid w:val="007D223D"/>
    <w:rsid w:val="008F3DE2"/>
    <w:rsid w:val="009534D6"/>
    <w:rsid w:val="009D4AD9"/>
    <w:rsid w:val="00A54BA3"/>
    <w:rsid w:val="00AA1436"/>
    <w:rsid w:val="00AB181E"/>
    <w:rsid w:val="00B22F8E"/>
    <w:rsid w:val="00B953BF"/>
    <w:rsid w:val="00C425D1"/>
    <w:rsid w:val="00DA602C"/>
    <w:rsid w:val="00DB1137"/>
    <w:rsid w:val="00EA3331"/>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7DC5D"/>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itre1">
    <w:name w:val="heading 1"/>
    <w:basedOn w:val="Normal"/>
    <w:next w:val="Normal"/>
    <w:link w:val="Titre1Car"/>
    <w:qFormat/>
    <w:pPr>
      <w:keepNext/>
      <w:keepLines/>
      <w:spacing w:before="340" w:after="113" w:line="360" w:lineRule="exact"/>
      <w:outlineLvl w:val="0"/>
    </w:pPr>
    <w:rPr>
      <w:rFonts w:ascii="Fira Sans" w:hAnsi="Fira Sans"/>
      <w:b/>
      <w:color w:val="4FAF4A"/>
      <w:sz w:val="28"/>
      <w:szCs w:val="32"/>
    </w:rPr>
  </w:style>
  <w:style w:type="paragraph" w:styleId="Titre2">
    <w:name w:val="heading 2"/>
    <w:basedOn w:val="Normal"/>
    <w:next w:val="Normal"/>
    <w:link w:val="Titre2Car"/>
    <w:qFormat/>
    <w:pPr>
      <w:keepNext/>
      <w:keepLines/>
      <w:spacing w:before="340" w:after="113" w:line="340" w:lineRule="exact"/>
      <w:outlineLvl w:val="1"/>
    </w:pPr>
    <w:rPr>
      <w:rFonts w:ascii="Fira Sans" w:hAnsi="Fira Sans"/>
      <w:b/>
      <w:color w:val="4FAF4A"/>
      <w:sz w:val="26"/>
      <w:szCs w:val="26"/>
    </w:rPr>
  </w:style>
  <w:style w:type="paragraph" w:styleId="Titre3">
    <w:name w:val="heading 3"/>
    <w:basedOn w:val="Normal"/>
    <w:next w:val="Normal"/>
    <w:link w:val="Titre3Car"/>
    <w:qFormat/>
    <w:pPr>
      <w:keepNext/>
      <w:keepLines/>
      <w:spacing w:before="227" w:after="113" w:line="320" w:lineRule="exact"/>
      <w:outlineLvl w:val="2"/>
    </w:pPr>
    <w:rPr>
      <w:rFonts w:ascii="Fira Sans" w:hAnsi="Fira Sans"/>
      <w:color w:val="4FAF4A"/>
      <w:sz w:val="24"/>
      <w:szCs w:val="24"/>
    </w:rPr>
  </w:style>
  <w:style w:type="paragraph" w:styleId="Titre4">
    <w:name w:val="heading 4"/>
    <w:basedOn w:val="Normal"/>
    <w:next w:val="Normal"/>
    <w:link w:val="Titre4Car"/>
    <w:qFormat/>
    <w:pPr>
      <w:keepNext/>
      <w:keepLines/>
      <w:spacing w:before="227"/>
      <w:outlineLvl w:val="3"/>
    </w:pPr>
    <w:rPr>
      <w:rFonts w:ascii="Fira Sans" w:hAnsi="Fira Sans"/>
      <w:iCs/>
      <w:color w:val="4FAF4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Pr>
      <w:rFonts w:ascii="Fira Sans" w:eastAsia="Calibri" w:hAnsi="Fira Sans" w:cs="Tahoma"/>
      <w:b/>
      <w:color w:val="F79646"/>
      <w:sz w:val="28"/>
      <w:szCs w:val="32"/>
    </w:rPr>
  </w:style>
  <w:style w:type="character" w:customStyle="1" w:styleId="Titre2Car">
    <w:name w:val="Titre 2 Car"/>
    <w:basedOn w:val="Policepardfaut"/>
    <w:link w:val="Titre2"/>
    <w:qFormat/>
    <w:rPr>
      <w:rFonts w:ascii="Fira Sans" w:eastAsia="Calibri" w:hAnsi="Fira Sans" w:cs="Tahoma"/>
      <w:b/>
      <w:color w:val="F79646"/>
      <w:sz w:val="26"/>
      <w:szCs w:val="26"/>
    </w:rPr>
  </w:style>
  <w:style w:type="character" w:customStyle="1" w:styleId="Titre3Car">
    <w:name w:val="Titre 3 Car"/>
    <w:basedOn w:val="Policepardfaut"/>
    <w:link w:val="Titre3"/>
    <w:qFormat/>
    <w:rPr>
      <w:rFonts w:ascii="Fira Sans" w:eastAsia="Calibri" w:hAnsi="Fira Sans" w:cs="Tahoma"/>
      <w:color w:val="F79646"/>
      <w:sz w:val="24"/>
      <w:szCs w:val="24"/>
    </w:rPr>
  </w:style>
  <w:style w:type="character" w:customStyle="1" w:styleId="Titre4Car">
    <w:name w:val="Titre 4 Car"/>
    <w:basedOn w:val="Policepardfaut"/>
    <w:link w:val="Titre4"/>
    <w:qFormat/>
    <w:rPr>
      <w:rFonts w:ascii="Fira Sans" w:eastAsia="Calibri" w:hAnsi="Fira Sans" w:cs="Tahoma"/>
      <w:iCs/>
      <w:color w:val="F79646"/>
    </w:rPr>
  </w:style>
  <w:style w:type="character" w:customStyle="1" w:styleId="TitreCar">
    <w:name w:val="Titre Car"/>
    <w:basedOn w:val="Policepardfaut"/>
    <w:link w:val="Titre"/>
    <w:qFormat/>
    <w:rsid w:val="00227F60"/>
    <w:rPr>
      <w:rFonts w:ascii="Fira Sans" w:hAnsi="Fira Sans"/>
      <w:b/>
      <w:color w:val="4FAF4A"/>
      <w:sz w:val="38"/>
      <w:szCs w:val="56"/>
    </w:rPr>
  </w:style>
  <w:style w:type="character" w:styleId="lev">
    <w:name w:val="Strong"/>
    <w:basedOn w:val="Policepardfaut"/>
    <w:qFormat/>
    <w:rPr>
      <w:b/>
      <w:bCs/>
    </w:rPr>
  </w:style>
  <w:style w:type="character" w:styleId="Accentuation">
    <w:name w:val="Emphasis"/>
    <w:basedOn w:val="Policepardfaut"/>
    <w:qFormat/>
    <w:rPr>
      <w:i/>
      <w:iCs/>
    </w:rPr>
  </w:style>
  <w:style w:type="character" w:styleId="Accentuationintense">
    <w:name w:val="Intense Emphasis"/>
    <w:basedOn w:val="Policepardfaut"/>
    <w:qFormat/>
    <w:rPr>
      <w:rFonts w:ascii="Libertinus Serif" w:hAnsi="Libertinus Serif"/>
      <w:b/>
      <w:bCs/>
      <w:i/>
      <w:iCs/>
      <w:color w:val="auto"/>
    </w:rPr>
  </w:style>
  <w:style w:type="character" w:customStyle="1" w:styleId="CitationCar">
    <w:name w:val="Citation Car"/>
    <w:basedOn w:val="Policepardfaut"/>
    <w:link w:val="Citation"/>
    <w:qFormat/>
    <w:rPr>
      <w:rFonts w:ascii="Libertinus Serif" w:hAnsi="Libertinus Serif"/>
      <w:iCs/>
      <w:sz w:val="20"/>
    </w:rPr>
  </w:style>
  <w:style w:type="character" w:customStyle="1" w:styleId="Sous-titreCar">
    <w:name w:val="Sous-titre Car"/>
    <w:basedOn w:val="Policepardfaut"/>
    <w:link w:val="Sous-titre"/>
    <w:qFormat/>
    <w:rsid w:val="004C5262"/>
    <w:rPr>
      <w:rFonts w:ascii="Fira Sans" w:hAnsi="Fira Sans"/>
      <w:b/>
      <w:color w:val="5A5A5A"/>
      <w:spacing w:val="16"/>
      <w:sz w:val="28"/>
    </w:rPr>
  </w:style>
  <w:style w:type="character" w:customStyle="1" w:styleId="En-tteCar">
    <w:name w:val="En-tête Car"/>
    <w:basedOn w:val="Policepardfaut"/>
    <w:link w:val="En-tte"/>
    <w:qFormat/>
    <w:rPr>
      <w:rFonts w:ascii="Times New Roman" w:hAnsi="Times New Roman"/>
      <w:sz w:val="24"/>
    </w:rPr>
  </w:style>
  <w:style w:type="character" w:customStyle="1" w:styleId="PieddepageCar">
    <w:name w:val="Pied de page Car"/>
    <w:basedOn w:val="Policepardfaut"/>
    <w:link w:val="Pieddepage"/>
    <w:qFormat/>
    <w:rPr>
      <w:rFonts w:ascii="Times New Roman" w:hAnsi="Times New Roman"/>
      <w:sz w:val="24"/>
    </w:rPr>
  </w:style>
  <w:style w:type="character" w:customStyle="1" w:styleId="Funotenzeichen-Text">
    <w:name w:val="Fußnotenzeichen-Text"/>
    <w:qFormat/>
    <w:rPr>
      <w:vertAlign w:val="superscript"/>
    </w:rPr>
  </w:style>
  <w:style w:type="character" w:styleId="Lienhypertexte">
    <w:name w:val="Hyperlink"/>
    <w:basedOn w:val="Policepardfaut"/>
    <w:rPr>
      <w:color w:val="000080"/>
      <w:w w:val="100"/>
      <w:u w:val="thick" w:color="000080"/>
    </w:rPr>
  </w:style>
  <w:style w:type="character" w:styleId="Numrodepage">
    <w:name w:val="page number"/>
    <w:basedOn w:val="Policepardfaut"/>
    <w:qFormat/>
  </w:style>
  <w:style w:type="character" w:customStyle="1" w:styleId="NotedebasdepageCar">
    <w:name w:val="Note de bas de page Car"/>
    <w:basedOn w:val="Policepardfaut"/>
    <w:link w:val="Notedebasdepage"/>
    <w:qFormat/>
    <w:rPr>
      <w:rFonts w:ascii="Times New Roman" w:hAnsi="Times New Roman"/>
      <w:sz w:val="20"/>
      <w:szCs w:val="20"/>
    </w:rPr>
  </w:style>
  <w:style w:type="character" w:customStyle="1" w:styleId="CitationintenseCar">
    <w:name w:val="Citation intense Car"/>
    <w:basedOn w:val="Policepardfaut"/>
    <w:link w:val="Citationintense"/>
    <w:qFormat/>
    <w:rPr>
      <w:rFonts w:ascii="Libertinus Serif" w:hAnsi="Libertinus Serif"/>
      <w:bCs/>
      <w:sz w:val="20"/>
    </w:rPr>
  </w:style>
  <w:style w:type="character" w:customStyle="1" w:styleId="KapitlchenSmallCapital">
    <w:name w:val="Kapitälchen/Small Capital"/>
    <w:basedOn w:val="Policepardfaut"/>
    <w:qFormat/>
    <w:rPr>
      <w:smallCaps/>
    </w:rPr>
  </w:style>
  <w:style w:type="character" w:customStyle="1" w:styleId="Aufzhlungszeichen1">
    <w:name w:val="Aufzählungszeichen1"/>
    <w:qFormat/>
    <w:rPr>
      <w:rFonts w:ascii="OpenSymbol" w:eastAsia="OpenSymbol" w:hAnsi="OpenSymbol" w:cs="OpenSymbol"/>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TextedebullesCar">
    <w:name w:val="Texte de bulles Car"/>
    <w:basedOn w:val="Policepardfaut"/>
    <w:link w:val="Textedebulles"/>
    <w:qFormat/>
    <w:rPr>
      <w:rFonts w:ascii="Tahoma" w:hAnsi="Tahoma" w:cs="Tahoma"/>
      <w:sz w:val="16"/>
      <w:szCs w:val="16"/>
    </w:rPr>
  </w:style>
  <w:style w:type="paragraph" w:customStyle="1" w:styleId="berschrift">
    <w:name w:val="Überschrift"/>
    <w:basedOn w:val="Titre1"/>
    <w:next w:val="Corpsdetexte"/>
    <w:qFormat/>
    <w:pPr>
      <w:spacing w:before="240" w:after="120"/>
    </w:pPr>
    <w:rPr>
      <w:rFonts w:ascii="Liberation Sans" w:eastAsia="Noto Sans CJK SC" w:hAnsi="Liberation Sans" w:cs="Droid Sans Devanagari"/>
      <w:szCs w:val="28"/>
    </w:rPr>
  </w:style>
  <w:style w:type="paragraph" w:styleId="Corpsdetexte">
    <w:name w:val="Body Text"/>
    <w:basedOn w:val="Normal"/>
    <w:pPr>
      <w:spacing w:before="0" w:after="140" w:line="276" w:lineRule="auto"/>
    </w:pPr>
  </w:style>
  <w:style w:type="paragraph" w:styleId="Liste">
    <w:name w:val="List"/>
    <w:basedOn w:val="Corpsdetexte"/>
    <w:rPr>
      <w:rFonts w:cs="Droid Sans Devanagari"/>
    </w:rPr>
  </w:style>
  <w:style w:type="paragraph" w:styleId="Lgende">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re">
    <w:name w:val="Title"/>
    <w:basedOn w:val="Normal"/>
    <w:next w:val="Normal"/>
    <w:link w:val="Titre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ion">
    <w:name w:val="Quote"/>
    <w:basedOn w:val="Normal"/>
    <w:next w:val="Normal"/>
    <w:link w:val="CitationCar"/>
    <w:qFormat/>
    <w:pPr>
      <w:spacing w:line="250" w:lineRule="exact"/>
      <w:ind w:left="794" w:right="794"/>
    </w:pPr>
    <w:rPr>
      <w:iCs/>
      <w:sz w:val="20"/>
    </w:rPr>
  </w:style>
  <w:style w:type="paragraph" w:styleId="Sous-titre">
    <w:name w:val="Subtitle"/>
    <w:basedOn w:val="Normal"/>
    <w:next w:val="Normal"/>
    <w:link w:val="Sous-titre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re"/>
    <w:qFormat/>
    <w:pPr>
      <w:spacing w:before="0" w:line="340" w:lineRule="exact"/>
    </w:pPr>
    <w:rPr>
      <w:b w:val="0"/>
      <w:color w:val="auto"/>
      <w:sz w:val="26"/>
    </w:rPr>
  </w:style>
  <w:style w:type="paragraph" w:styleId="Paragraphedeliste">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En-tte">
    <w:name w:val="header"/>
    <w:basedOn w:val="Normal"/>
    <w:link w:val="En-tteCar"/>
    <w:pPr>
      <w:tabs>
        <w:tab w:val="center" w:pos="4536"/>
        <w:tab w:val="right" w:pos="9072"/>
      </w:tabs>
      <w:spacing w:before="0" w:line="240" w:lineRule="auto"/>
    </w:pPr>
  </w:style>
  <w:style w:type="paragraph" w:styleId="Pieddepage">
    <w:name w:val="footer"/>
    <w:basedOn w:val="Normal"/>
    <w:link w:val="PieddepageCar"/>
    <w:pPr>
      <w:tabs>
        <w:tab w:val="center" w:pos="4536"/>
        <w:tab w:val="right" w:pos="9072"/>
      </w:tabs>
      <w:spacing w:before="0" w:line="240" w:lineRule="auto"/>
    </w:pPr>
  </w:style>
  <w:style w:type="paragraph" w:customStyle="1" w:styleId="FunoteFootnote">
    <w:name w:val="Fußnote/Footnote"/>
    <w:basedOn w:val="Notedebasdepage"/>
    <w:qFormat/>
    <w:pPr>
      <w:tabs>
        <w:tab w:val="left" w:pos="283"/>
      </w:tabs>
      <w:spacing w:line="230" w:lineRule="atLeast"/>
      <w:ind w:left="284" w:hanging="284"/>
      <w:textAlignment w:val="center"/>
    </w:pPr>
    <w:rPr>
      <w:rFonts w:cs="Times New Roman"/>
    </w:rPr>
  </w:style>
  <w:style w:type="paragraph" w:styleId="Notedebasdepage">
    <w:name w:val="footnote text"/>
    <w:basedOn w:val="Normal"/>
    <w:link w:val="Notedebasdepag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tionintense">
    <w:name w:val="Intense Quote"/>
    <w:basedOn w:val="Citation"/>
    <w:next w:val="Normal"/>
    <w:link w:val="Citationintense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sdetex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reindex">
    <w:name w:val="index heading"/>
    <w:basedOn w:val="Titre1"/>
    <w:autoRedefine/>
  </w:style>
  <w:style w:type="paragraph" w:styleId="Tabledesrfrencesjuridiques">
    <w:name w:val="table of authorities"/>
    <w:basedOn w:val="Titre1"/>
    <w:autoRedefine/>
    <w:pPr>
      <w:suppressLineNumbers/>
    </w:pPr>
  </w:style>
  <w:style w:type="paragraph" w:styleId="Formuledepolitesse">
    <w:name w:val="Closing"/>
    <w:basedOn w:val="berschrift"/>
    <w:next w:val="Corpsdetexte"/>
    <w:qFormat/>
    <w:pPr>
      <w:jc w:val="center"/>
    </w:pPr>
    <w:rPr>
      <w:bCs/>
      <w:szCs w:val="32"/>
    </w:rPr>
  </w:style>
  <w:style w:type="paragraph" w:styleId="En-ttedetabledesmatires">
    <w:name w:val="TOC Heading"/>
    <w:basedOn w:val="Titreindex"/>
  </w:style>
  <w:style w:type="paragraph" w:customStyle="1" w:styleId="Abbildungsindexberschriften">
    <w:name w:val="Abbildungsindex Überschriften"/>
    <w:basedOn w:val="Titreindex"/>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edebulles">
    <w:name w:val="Balloon Text"/>
    <w:basedOn w:val="Normal"/>
    <w:link w:val="TextedebullesCar"/>
    <w:qFormat/>
    <w:pPr>
      <w:spacing w:before="0" w:line="240" w:lineRule="auto"/>
    </w:pPr>
    <w:rPr>
      <w:rFonts w:ascii="Tahoma" w:hAnsi="Tahoma"/>
      <w:sz w:val="16"/>
      <w:szCs w:val="16"/>
    </w:rPr>
  </w:style>
  <w:style w:type="character" w:styleId="Mentionnonrsolue">
    <w:name w:val="Unresolved Mention"/>
    <w:basedOn w:val="Policepardfaut"/>
    <w:uiPriority w:val="99"/>
    <w:semiHidden/>
    <w:unhideWhenUsed/>
    <w:rsid w:val="007D2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alina.tsikulina@univ-lille.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journals.openedition.org/anglophonia/377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efstathia.soroli@univ-lille.fr" TargetMode="External"/><Relationship Id="rId4" Type="http://schemas.openxmlformats.org/officeDocument/2006/relationships/webSettings" Target="webSettings.xml"/><Relationship Id="rId9" Type="http://schemas.openxmlformats.org/officeDocument/2006/relationships/hyperlink" Target="mailto:fayssal.tayalati@univ-lille.f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998</Words>
  <Characters>5493</Characters>
  <Application>Microsoft Office Word</Application>
  <DocSecurity>0</DocSecurity>
  <Lines>45</Lines>
  <Paragraphs>12</Paragraphs>
  <ScaleCrop>false</ScaleCrop>
  <HeadingPairs>
    <vt:vector size="6" baseType="variant">
      <vt:variant>
        <vt:lpstr>Titre</vt:lpstr>
      </vt:variant>
      <vt:variant>
        <vt:i4>1</vt:i4>
      </vt:variant>
      <vt:variant>
        <vt:lpstr>Titres</vt:lpstr>
      </vt:variant>
      <vt:variant>
        <vt:i4>2</vt:i4>
      </vt:variant>
      <vt:variant>
        <vt:lpstr>Titel</vt:lpstr>
      </vt:variant>
      <vt:variant>
        <vt:i4>1</vt:i4>
      </vt:variant>
    </vt:vector>
  </HeadingPairs>
  <TitlesOfParts>
    <vt:vector size="4" baseType="lpstr">
      <vt:lpstr/>
      <vt:lpstr>References</vt:lpstr>
      <vt:lpstr>Contact information</vt:lpstr>
      <vt:lpstr/>
    </vt:vector>
  </TitlesOfParts>
  <Company>Microsoft</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Alina</cp:lastModifiedBy>
  <cp:revision>5</cp:revision>
  <cp:lastPrinted>2023-03-11T11:57:00Z</cp:lastPrinted>
  <dcterms:created xsi:type="dcterms:W3CDTF">2023-04-19T15:29:00Z</dcterms:created>
  <dcterms:modified xsi:type="dcterms:W3CDTF">2023-04-21T17:29:00Z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